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54DB" w14:textId="036AC24A" w:rsidR="00D429E7" w:rsidRDefault="00D429E7" w:rsidP="00D16D94">
      <w:pPr>
        <w:pStyle w:val="Title"/>
        <w:framePr w:w="0" w:hSpace="0" w:vSpace="0" w:wrap="auto" w:vAnchor="margin" w:hAnchor="text" w:xAlign="left" w:yAlign="inline"/>
        <w:spacing w:line="360" w:lineRule="auto"/>
        <w:rPr>
          <w:b/>
          <w:sz w:val="24"/>
          <w:szCs w:val="24"/>
        </w:rPr>
      </w:pPr>
      <w:r>
        <w:rPr>
          <w:b/>
          <w:sz w:val="24"/>
          <w:szCs w:val="24"/>
        </w:rPr>
        <w:t xml:space="preserve">Tinjauan Hukum terhadap Kasus Penggelapan Pajak PT. Asian Agri Group </w:t>
      </w:r>
    </w:p>
    <w:p w14:paraId="3342F00C" w14:textId="66FFEE6D" w:rsidR="00345EB8" w:rsidRPr="00417A9E" w:rsidRDefault="00D429E7" w:rsidP="003B2402">
      <w:pPr>
        <w:pStyle w:val="Title"/>
        <w:framePr w:w="0" w:hSpace="0" w:vSpace="0" w:wrap="auto" w:vAnchor="margin" w:hAnchor="text" w:xAlign="left" w:yAlign="inline"/>
        <w:spacing w:line="360" w:lineRule="auto"/>
        <w:rPr>
          <w:b/>
          <w:color w:val="4F81BD" w:themeColor="accent1"/>
          <w:sz w:val="24"/>
          <w:szCs w:val="24"/>
        </w:rPr>
      </w:pPr>
      <w:r>
        <w:rPr>
          <w:b/>
          <w:sz w:val="24"/>
          <w:szCs w:val="24"/>
        </w:rPr>
        <w:t>Dan Implikasinya bagi Sistem Perpajakan Indonesia</w:t>
      </w:r>
      <w:r w:rsidR="004B2D63" w:rsidRPr="00417A9E">
        <w:rPr>
          <w:b/>
          <w:sz w:val="24"/>
          <w:szCs w:val="24"/>
        </w:rPr>
        <w:t xml:space="preserve"> </w:t>
      </w:r>
    </w:p>
    <w:p w14:paraId="271897DC" w14:textId="645290A8" w:rsidR="00B33E32" w:rsidRPr="003D2EAD" w:rsidRDefault="00B33E32" w:rsidP="00B33E32">
      <w:pPr>
        <w:pStyle w:val="Title"/>
        <w:framePr w:w="0" w:hSpace="0" w:vSpace="0" w:wrap="auto" w:vAnchor="margin" w:hAnchor="text" w:xAlign="left" w:yAlign="inline"/>
        <w:spacing w:line="360" w:lineRule="auto"/>
        <w:rPr>
          <w:b/>
          <w:i/>
          <w:iCs/>
          <w:sz w:val="24"/>
          <w:szCs w:val="24"/>
        </w:rPr>
      </w:pPr>
      <w:r w:rsidRPr="003D2EAD">
        <w:rPr>
          <w:b/>
          <w:i/>
          <w:iCs/>
          <w:sz w:val="24"/>
          <w:szCs w:val="24"/>
        </w:rPr>
        <w:t xml:space="preserve">A Legal Review of the PT. Asian Agri Tax Evasion Case and its Implications for the </w:t>
      </w:r>
    </w:p>
    <w:p w14:paraId="29FFDBD2" w14:textId="48CFBB55" w:rsidR="00345EB8" w:rsidRPr="00417A9E" w:rsidRDefault="00B33E32" w:rsidP="003B2402">
      <w:pPr>
        <w:pStyle w:val="Title"/>
        <w:framePr w:w="0" w:hSpace="0" w:vSpace="0" w:wrap="auto" w:vAnchor="margin" w:hAnchor="text" w:xAlign="left" w:yAlign="inline"/>
        <w:spacing w:line="360" w:lineRule="auto"/>
        <w:rPr>
          <w:sz w:val="24"/>
          <w:szCs w:val="24"/>
        </w:rPr>
      </w:pPr>
      <w:r w:rsidRPr="003D2EAD">
        <w:rPr>
          <w:b/>
          <w:i/>
          <w:iCs/>
          <w:sz w:val="24"/>
          <w:szCs w:val="24"/>
        </w:rPr>
        <w:t>Indonesian Taxation System</w:t>
      </w:r>
      <w:r w:rsidR="004B2D63" w:rsidRPr="00417A9E">
        <w:rPr>
          <w:b/>
          <w:sz w:val="24"/>
          <w:szCs w:val="24"/>
        </w:rPr>
        <w:t xml:space="preserve"> </w:t>
      </w:r>
    </w:p>
    <w:p w14:paraId="6EE8C1CD" w14:textId="088E3694" w:rsidR="00345EB8" w:rsidRPr="00417A9E" w:rsidRDefault="002E4502" w:rsidP="003B2402">
      <w:pPr>
        <w:pStyle w:val="Authors"/>
        <w:framePr w:w="0" w:hSpace="0" w:vSpace="0" w:wrap="auto" w:vAnchor="margin" w:hAnchor="text" w:xAlign="left" w:yAlign="inline"/>
        <w:spacing w:after="0"/>
        <w:rPr>
          <w:bCs/>
          <w:color w:val="4F81BD" w:themeColor="accent1"/>
          <w:sz w:val="28"/>
          <w:szCs w:val="28"/>
        </w:rPr>
      </w:pPr>
      <w:r>
        <w:rPr>
          <w:bCs/>
          <w:sz w:val="24"/>
          <w:szCs w:val="24"/>
        </w:rPr>
        <w:t>Lamtiur Mariana Lely Sihombing</w:t>
      </w:r>
      <w:r w:rsidR="00345EB8" w:rsidRPr="00417A9E">
        <w:rPr>
          <w:bCs/>
          <w:sz w:val="24"/>
          <w:szCs w:val="24"/>
        </w:rPr>
        <w:t xml:space="preserve">, </w:t>
      </w:r>
      <w:r w:rsidR="001D3FC7">
        <w:rPr>
          <w:bCs/>
          <w:sz w:val="24"/>
          <w:szCs w:val="24"/>
        </w:rPr>
        <w:t>Armelia</w:t>
      </w:r>
      <w:r w:rsidR="0016126D">
        <w:rPr>
          <w:bCs/>
          <w:sz w:val="24"/>
          <w:szCs w:val="24"/>
        </w:rPr>
        <w:t>ni</w:t>
      </w:r>
    </w:p>
    <w:p w14:paraId="6022505A" w14:textId="67C065C0" w:rsidR="00345EB8" w:rsidRPr="009D011A" w:rsidRDefault="00345EB8" w:rsidP="006B2B58">
      <w:pPr>
        <w:pStyle w:val="Authors"/>
        <w:framePr w:w="0" w:hSpace="0" w:vSpace="0" w:wrap="auto" w:vAnchor="margin" w:hAnchor="text" w:xAlign="left" w:yAlign="inline"/>
        <w:spacing w:after="0"/>
      </w:pPr>
      <w:r w:rsidRPr="009D011A">
        <w:t>(Pr</w:t>
      </w:r>
      <w:r w:rsidR="00832442">
        <w:t>ogram Studi Ilmu Hukum,</w:t>
      </w:r>
      <w:r w:rsidRPr="009D011A">
        <w:t xml:space="preserve"> Fa</w:t>
      </w:r>
      <w:r w:rsidR="00417A9E" w:rsidRPr="009D011A">
        <w:t>kultas</w:t>
      </w:r>
      <w:r w:rsidR="001F3C5A">
        <w:t xml:space="preserve"> Ilmu Sosial dan Ilmu Politik</w:t>
      </w:r>
      <w:r w:rsidR="00417A9E" w:rsidRPr="009D011A">
        <w:t xml:space="preserve">, </w:t>
      </w:r>
      <w:r w:rsidR="006B2B58" w:rsidRPr="009D011A">
        <w:t>Universitas</w:t>
      </w:r>
      <w:r w:rsidR="001F3C5A">
        <w:t xml:space="preserve"> Maritim Raja Ali Haji</w:t>
      </w:r>
      <w:r w:rsidR="006B2B58" w:rsidRPr="009D011A">
        <w:t xml:space="preserve">) </w:t>
      </w:r>
    </w:p>
    <w:p w14:paraId="1F716EA1" w14:textId="2BAC0A98" w:rsidR="00345EB8" w:rsidRPr="009D011A" w:rsidRDefault="0020427A" w:rsidP="003B2402">
      <w:pPr>
        <w:jc w:val="center"/>
        <w:rPr>
          <w:rFonts w:ascii="Times New Roman" w:hAnsi="Times New Roman"/>
          <w:color w:val="FF0000"/>
        </w:rPr>
      </w:pPr>
      <w:r>
        <w:rPr>
          <w:rFonts w:ascii="Times New Roman" w:hAnsi="Times New Roman"/>
          <w:lang w:val="id-ID"/>
        </w:rPr>
        <w:t>lmlsihombing@student.umrah.ac.id</w:t>
      </w:r>
      <w:r w:rsidR="00067186" w:rsidRPr="009D011A">
        <w:rPr>
          <w:rFonts w:ascii="Times New Roman" w:hAnsi="Times New Roman"/>
        </w:rPr>
        <w:t>,</w:t>
      </w:r>
      <w:r w:rsidR="006B2B58" w:rsidRPr="009D011A">
        <w:rPr>
          <w:rFonts w:ascii="Times New Roman" w:hAnsi="Times New Roman"/>
        </w:rPr>
        <w:t xml:space="preserve"> </w:t>
      </w:r>
      <w:r w:rsidR="005F27A2">
        <w:rPr>
          <w:rFonts w:ascii="Times New Roman" w:hAnsi="Times New Roman"/>
          <w:lang w:val="id-ID"/>
        </w:rPr>
        <w:t>aarmeliani@student.umrah.ac.id</w:t>
      </w:r>
    </w:p>
    <w:p w14:paraId="5DADD979" w14:textId="77777777" w:rsidR="00B142D6" w:rsidRPr="00417A9E" w:rsidRDefault="00B142D6" w:rsidP="00E176A4">
      <w:pPr>
        <w:rPr>
          <w:rFonts w:ascii="Times New Roman" w:hAnsi="Times New Roman"/>
          <w:i/>
          <w:sz w:val="20"/>
          <w:szCs w:val="20"/>
          <w:lang w:val="id-ID"/>
        </w:rPr>
      </w:pPr>
    </w:p>
    <w:p w14:paraId="717CDFA1" w14:textId="4C928331" w:rsidR="00345EB8" w:rsidRPr="006B2B58" w:rsidRDefault="00417A9E" w:rsidP="003B2402">
      <w:pPr>
        <w:jc w:val="center"/>
        <w:rPr>
          <w:rFonts w:ascii="Times New Roman" w:hAnsi="Times New Roman"/>
          <w:b/>
          <w:bCs/>
          <w:sz w:val="24"/>
          <w:szCs w:val="24"/>
          <w:lang w:val="id-ID"/>
        </w:rPr>
      </w:pPr>
      <w:r w:rsidRPr="006B2B58">
        <w:rPr>
          <w:rFonts w:ascii="Times New Roman" w:hAnsi="Times New Roman"/>
          <w:b/>
          <w:bCs/>
          <w:sz w:val="24"/>
          <w:szCs w:val="24"/>
        </w:rPr>
        <w:t>ABSTRAK</w:t>
      </w:r>
      <w:r w:rsidR="00345EB8" w:rsidRPr="006B2B58">
        <w:rPr>
          <w:rFonts w:ascii="Times New Roman" w:hAnsi="Times New Roman"/>
          <w:b/>
          <w:bCs/>
          <w:sz w:val="24"/>
          <w:szCs w:val="24"/>
        </w:rPr>
        <w:t xml:space="preserve"> </w:t>
      </w:r>
    </w:p>
    <w:p w14:paraId="5E9C1A2C" w14:textId="7F745AD8" w:rsidR="00345EB8" w:rsidRPr="00060778" w:rsidRDefault="0056704D" w:rsidP="003B2402">
      <w:pPr>
        <w:jc w:val="both"/>
        <w:rPr>
          <w:rFonts w:ascii="Times New Roman" w:hAnsi="Times New Roman"/>
          <w:color w:val="FF0000"/>
          <w:sz w:val="24"/>
          <w:szCs w:val="24"/>
        </w:rPr>
      </w:pPr>
      <w:r w:rsidRPr="0056704D">
        <w:rPr>
          <w:rFonts w:ascii="Times New Roman" w:eastAsia="Times New Roman" w:hAnsi="Times New Roman"/>
          <w:sz w:val="24"/>
          <w:szCs w:val="24"/>
        </w:rPr>
        <w:t xml:space="preserve">Pajak merupakan sumber utama pendapatan negara yang berperan penting dalam pembiayaan publik dan pembangunan nasional. Namun, tingkat ketidakpatuhan wajib pajak, seperti penghindaran </w:t>
      </w:r>
      <w:r w:rsidRPr="00A348ED">
        <w:rPr>
          <w:rFonts w:ascii="Times New Roman" w:eastAsia="Times New Roman" w:hAnsi="Times New Roman"/>
          <w:i/>
          <w:iCs/>
          <w:sz w:val="24"/>
          <w:szCs w:val="24"/>
        </w:rPr>
        <w:t>(tax avoidance)</w:t>
      </w:r>
      <w:r w:rsidRPr="0056704D">
        <w:rPr>
          <w:rFonts w:ascii="Times New Roman" w:eastAsia="Times New Roman" w:hAnsi="Times New Roman"/>
          <w:sz w:val="24"/>
          <w:szCs w:val="24"/>
        </w:rPr>
        <w:t xml:space="preserve"> dan penggelapan pajak </w:t>
      </w:r>
      <w:r w:rsidRPr="00A348ED">
        <w:rPr>
          <w:rFonts w:ascii="Times New Roman" w:eastAsia="Times New Roman" w:hAnsi="Times New Roman"/>
          <w:i/>
          <w:iCs/>
          <w:sz w:val="24"/>
          <w:szCs w:val="24"/>
        </w:rPr>
        <w:t>(tax evasion)</w:t>
      </w:r>
      <w:r w:rsidRPr="0056704D">
        <w:rPr>
          <w:rFonts w:ascii="Times New Roman" w:eastAsia="Times New Roman" w:hAnsi="Times New Roman"/>
          <w:sz w:val="24"/>
          <w:szCs w:val="24"/>
        </w:rPr>
        <w:t xml:space="preserve">, masih menjadi tantangan dalam sistem perpajakan Indonesia. Penelitian ini mengkaji kasus penggelapan pajak oleh PT Asian Agri Group (AAG), salah satu kasus terbesar di Indonesia, untuk menganalisis pertanggungjawaban pidana korporasi dan implikasinya terhadap sistem perpajakan nasional. Penelitian ini menggunakan metode yuridis normatif dengan pendekatan kasus dan perundang-undangan. AAG terbukti melakukan manipulasi keuangan melalui skema transfer pricing, pembukuan ganda, dan transaksi fiktif, merugikan negara sekitar Rp1,3 triliun. Berdasarkan Putusan Mahkamah Agung Nomor 2239 K/PID.SUS/2012, AAG dijatuhi denda Rp2,5 triliun, mempertegas prinsip </w:t>
      </w:r>
      <w:r w:rsidRPr="00A348ED">
        <w:rPr>
          <w:rFonts w:ascii="Times New Roman" w:eastAsia="Times New Roman" w:hAnsi="Times New Roman"/>
          <w:i/>
          <w:iCs/>
          <w:sz w:val="24"/>
          <w:szCs w:val="24"/>
        </w:rPr>
        <w:t>corporate liability</w:t>
      </w:r>
      <w:r w:rsidRPr="0056704D">
        <w:rPr>
          <w:rFonts w:ascii="Times New Roman" w:eastAsia="Times New Roman" w:hAnsi="Times New Roman"/>
          <w:sz w:val="24"/>
          <w:szCs w:val="24"/>
        </w:rPr>
        <w:t>. Penelitian ini juga membahas tiga model pertanggungjawaban pidana korporasi yang berlaku di Indonesia, dengan model korporasi sebagai pelaku sekaligus penanggung jawab dinilai paling efektif. Kasus AAG menunjukkan perlunya reformasi sistem perpajakan, peningkatan pengawasan, transparansi, teknologi deteksi dini, serta edukasi wajib pajak guna memperkuat sistem perpajakan yang adil dan akuntabel</w:t>
      </w:r>
      <w:r w:rsidR="00345EB8" w:rsidRPr="009D011A">
        <w:rPr>
          <w:rFonts w:ascii="Times New Roman" w:eastAsia="Times New Roman" w:hAnsi="Times New Roman"/>
          <w:sz w:val="24"/>
          <w:szCs w:val="24"/>
          <w:lang w:val="pt-BR"/>
        </w:rPr>
        <w:t>.</w:t>
      </w:r>
    </w:p>
    <w:p w14:paraId="204F58EB" w14:textId="70F2D440" w:rsidR="00104CDE" w:rsidRPr="009B174C" w:rsidRDefault="00345EB8" w:rsidP="009B174C">
      <w:pPr>
        <w:jc w:val="both"/>
        <w:rPr>
          <w:rFonts w:ascii="Times New Roman" w:hAnsi="Times New Roman"/>
          <w:b/>
          <w:sz w:val="24"/>
          <w:szCs w:val="24"/>
          <w:lang w:val="fr-FR"/>
        </w:rPr>
      </w:pPr>
      <w:r w:rsidRPr="00060778">
        <w:rPr>
          <w:rFonts w:ascii="Times New Roman" w:hAnsi="Times New Roman"/>
          <w:bCs/>
          <w:iCs/>
          <w:sz w:val="24"/>
          <w:szCs w:val="24"/>
        </w:rPr>
        <w:t>Kata Kunci</w:t>
      </w:r>
      <w:r w:rsidR="0056704D">
        <w:rPr>
          <w:rFonts w:ascii="Times New Roman" w:hAnsi="Times New Roman"/>
          <w:bCs/>
          <w:iCs/>
          <w:sz w:val="24"/>
          <w:szCs w:val="24"/>
        </w:rPr>
        <w:t xml:space="preserve">: </w:t>
      </w:r>
      <w:r w:rsidR="00A473DC">
        <w:rPr>
          <w:rFonts w:ascii="Times New Roman" w:hAnsi="Times New Roman"/>
          <w:bCs/>
          <w:iCs/>
          <w:sz w:val="24"/>
          <w:szCs w:val="24"/>
        </w:rPr>
        <w:t>penggelapan pajak, PT. Asiang Agri Group, Perpajakan Indonesia, Reformasi Perpajakan</w:t>
      </w:r>
    </w:p>
    <w:p w14:paraId="45E6B7BB" w14:textId="2236AFD8" w:rsidR="00345EB8" w:rsidRPr="00060778" w:rsidRDefault="00104CDE" w:rsidP="003B2402">
      <w:pPr>
        <w:jc w:val="center"/>
        <w:rPr>
          <w:rFonts w:ascii="Times New Roman" w:hAnsi="Times New Roman"/>
          <w:color w:val="4F81BD" w:themeColor="accent1"/>
          <w:sz w:val="24"/>
          <w:szCs w:val="24"/>
        </w:rPr>
      </w:pPr>
      <w:r w:rsidRPr="00060778">
        <w:rPr>
          <w:rFonts w:ascii="Times New Roman" w:hAnsi="Times New Roman"/>
          <w:b/>
          <w:color w:val="000000" w:themeColor="text1"/>
          <w:sz w:val="24"/>
          <w:szCs w:val="24"/>
        </w:rPr>
        <w:t>ABSTRACT</w:t>
      </w:r>
    </w:p>
    <w:p w14:paraId="3F236C4E" w14:textId="420FC5A2" w:rsidR="00345EB8" w:rsidRPr="00104CDE" w:rsidRDefault="006D5D2B" w:rsidP="003B2402">
      <w:pPr>
        <w:jc w:val="both"/>
        <w:rPr>
          <w:rFonts w:ascii="Times New Roman" w:hAnsi="Times New Roman"/>
          <w:i/>
          <w:color w:val="FF0000"/>
          <w:sz w:val="24"/>
          <w:szCs w:val="24"/>
        </w:rPr>
      </w:pPr>
      <w:r>
        <w:rPr>
          <w:rFonts w:ascii="Times New Roman" w:eastAsia="Times New Roman" w:hAnsi="Times New Roman"/>
          <w:i/>
          <w:sz w:val="24"/>
          <w:szCs w:val="24"/>
        </w:rPr>
        <w:t xml:space="preserve">Taxes are a primary source of state revenue and play a vital role in financing public needs and national development. However, non-compliance by taxpayers, such as tax avoidance and tax evasion, remains a major challenge in Indonesia’s taxation system. This study examines the tax evasion case involving PT Asian Agri Group (AAG), one of the largest in Indonesian history, to analyze corporate criminal liability and its implications for national tax policy. Using a </w:t>
      </w:r>
      <w:r>
        <w:rPr>
          <w:rFonts w:ascii="Times New Roman" w:eastAsia="Times New Roman" w:hAnsi="Times New Roman"/>
          <w:i/>
          <w:sz w:val="24"/>
          <w:szCs w:val="24"/>
        </w:rPr>
        <w:lastRenderedPageBreak/>
        <w:t>normative juridical method with case and statute approaches, the study reveals AAG’s financial manipulation through transfer pricing, double bookkeeping, and fictitious transactions, causing a state loss of approximately IDR 1.3 trillion. The Supreme Court Decision No. 2239 K/PID.SUS/2012 imposed a fine of IDR 2.5 trillion, reinforcing the principle of corporate liability. The research reviews three corporate liability models in Indonesia, highlighting the effectiveness of holding corporations both as perpetrators and liable entities. The AAG case underscores the need for tax reform, stronger supervision, transparency, early detection technology, and taxpayer education to build a fair and accountable tax system.</w:t>
      </w:r>
    </w:p>
    <w:p w14:paraId="5BD55967" w14:textId="22D3AF91" w:rsidR="00157FD9" w:rsidRPr="00157FD9" w:rsidRDefault="00B142D6" w:rsidP="00104CDE">
      <w:pPr>
        <w:jc w:val="both"/>
        <w:rPr>
          <w:rFonts w:ascii="Times New Roman" w:hAnsi="Times New Roman"/>
          <w:i/>
          <w:color w:val="FF0000"/>
          <w:sz w:val="24"/>
          <w:szCs w:val="24"/>
          <w:lang w:val="fr-FR"/>
        </w:rPr>
      </w:pPr>
      <w:r w:rsidRPr="00104CDE">
        <w:rPr>
          <w:rFonts w:ascii="Times New Roman" w:hAnsi="Times New Roman"/>
          <w:b/>
          <w:bCs/>
          <w:i/>
          <w:iCs/>
          <w:sz w:val="24"/>
          <w:szCs w:val="24"/>
        </w:rPr>
        <w:t>Keyword</w:t>
      </w:r>
      <w:r w:rsidR="006D5D2B">
        <w:rPr>
          <w:rFonts w:ascii="Times New Roman" w:hAnsi="Times New Roman"/>
          <w:b/>
          <w:bCs/>
          <w:i/>
          <w:iCs/>
          <w:sz w:val="24"/>
          <w:szCs w:val="24"/>
        </w:rPr>
        <w:t xml:space="preserve">s: </w:t>
      </w:r>
      <w:r w:rsidR="00BD626F" w:rsidRPr="00F77588">
        <w:rPr>
          <w:rFonts w:ascii="Times New Roman" w:hAnsi="Times New Roman"/>
          <w:i/>
          <w:iCs/>
          <w:sz w:val="24"/>
          <w:szCs w:val="24"/>
        </w:rPr>
        <w:t>Tax evasion, PT Asian Agri Group, Indonesian taxation, Tax reform</w:t>
      </w:r>
    </w:p>
    <w:p w14:paraId="4DBC00EA" w14:textId="30E122FD" w:rsidR="00B142D6" w:rsidRPr="0083125A" w:rsidRDefault="00B142D6" w:rsidP="003B2402">
      <w:pPr>
        <w:spacing w:after="0" w:line="360" w:lineRule="auto"/>
        <w:rPr>
          <w:rFonts w:ascii="Times New Roman" w:hAnsi="Times New Roman"/>
          <w:b/>
          <w:color w:val="4F81BD" w:themeColor="accent1"/>
          <w:sz w:val="24"/>
          <w:szCs w:val="24"/>
          <w:lang w:val="id-ID"/>
        </w:rPr>
      </w:pPr>
      <w:r>
        <w:rPr>
          <w:rFonts w:ascii="Times New Roman" w:hAnsi="Times New Roman"/>
          <w:b/>
          <w:sz w:val="24"/>
          <w:szCs w:val="24"/>
        </w:rPr>
        <w:t xml:space="preserve">PENDAHULUAN </w:t>
      </w:r>
    </w:p>
    <w:p w14:paraId="2EF36C6B" w14:textId="5EB3F578" w:rsidR="0076714D" w:rsidRDefault="00E06946" w:rsidP="00181982">
      <w:pPr>
        <w:adjustRightInd w:val="0"/>
        <w:spacing w:after="0" w:line="360" w:lineRule="auto"/>
        <w:ind w:firstLine="720"/>
        <w:jc w:val="both"/>
        <w:rPr>
          <w:rFonts w:ascii="Times New Roman" w:hAnsi="Times New Roman"/>
          <w:sz w:val="24"/>
          <w:szCs w:val="24"/>
          <w:lang w:val="id-ID"/>
        </w:rPr>
      </w:pPr>
      <w:r w:rsidRPr="00E06946">
        <w:rPr>
          <w:rFonts w:ascii="Times New Roman" w:hAnsi="Times New Roman"/>
          <w:sz w:val="24"/>
          <w:szCs w:val="24"/>
          <w:lang w:val="id-ID"/>
        </w:rPr>
        <w:t>Pajak merupakan salah satu sumber utama pendapatan negara yang berperan penting dalam membiayai kebutuhan publik serta mendukung pembangunan nasional.</w:t>
      </w:r>
      <w:r w:rsidR="00AD41B8">
        <w:rPr>
          <w:rStyle w:val="FootnoteReference"/>
          <w:rFonts w:ascii="Times New Roman" w:hAnsi="Times New Roman"/>
          <w:sz w:val="24"/>
          <w:szCs w:val="24"/>
          <w:lang w:val="id-ID"/>
        </w:rPr>
        <w:footnoteReference w:id="1"/>
      </w:r>
      <w:r w:rsidRPr="00E06946">
        <w:rPr>
          <w:rFonts w:ascii="Times New Roman" w:hAnsi="Times New Roman"/>
          <w:sz w:val="24"/>
          <w:szCs w:val="24"/>
          <w:lang w:val="id-ID"/>
        </w:rPr>
        <w:t xml:space="preserve"> Oleh sebab itu, kepatuhan wajib pajak dalam memenuhi kewajibannya menjadi hal yang sangat krusial. Dalam sistem perpajakan di Indonesia, sebagaimana diatur dalam Undang-Undang Nomor 16 Tahun 2009 tentang Ketentuan Umum dan Tata Cara Perpajakan (UU KUP), pajak didefinisikan sebagai kontribusi wajib yang harus dibayarkan oleh individu maupun badan usaha kepada negara. Pajak ini bersifat memaksa berdasarkan ketentuan hukum yang berlaku, tanpa adanya imbalan langsung, dan hasilnya digunakan untuk kepentingan negara demi sebesar</w:t>
      </w:r>
      <w:r w:rsidR="009E52C2">
        <w:rPr>
          <w:rFonts w:ascii="Times New Roman" w:hAnsi="Times New Roman"/>
          <w:sz w:val="24"/>
          <w:szCs w:val="24"/>
          <w:lang w:val="id-ID"/>
        </w:rPr>
        <w:t>-</w:t>
      </w:r>
      <w:r w:rsidRPr="00E06946">
        <w:rPr>
          <w:rFonts w:ascii="Times New Roman" w:hAnsi="Times New Roman"/>
          <w:sz w:val="24"/>
          <w:szCs w:val="24"/>
          <w:lang w:val="id-ID"/>
        </w:rPr>
        <w:t xml:space="preserve">besarnya kesejahteraan rakyat. </w:t>
      </w:r>
    </w:p>
    <w:p w14:paraId="6057F5C6" w14:textId="2EA3AEAC" w:rsidR="00E06946" w:rsidRPr="00E06946" w:rsidRDefault="00E06946" w:rsidP="00B85E90">
      <w:pPr>
        <w:adjustRightInd w:val="0"/>
        <w:spacing w:after="0" w:line="360" w:lineRule="auto"/>
        <w:ind w:firstLine="720"/>
        <w:jc w:val="both"/>
        <w:rPr>
          <w:rFonts w:ascii="Times New Roman" w:hAnsi="Times New Roman"/>
          <w:sz w:val="24"/>
          <w:szCs w:val="24"/>
          <w:lang w:val="id-ID"/>
        </w:rPr>
      </w:pPr>
      <w:r w:rsidRPr="00E06946">
        <w:rPr>
          <w:rFonts w:ascii="Times New Roman" w:hAnsi="Times New Roman"/>
          <w:sz w:val="24"/>
          <w:szCs w:val="24"/>
          <w:lang w:val="id-ID"/>
        </w:rPr>
        <w:t xml:space="preserve">Fakta di lapangan menunjukkan bahwa ketidakpatuhan pajak masih menjadi permasalahan besar, baik dalam bentuk penghindaran pajak </w:t>
      </w:r>
      <w:r w:rsidRPr="008F55E7">
        <w:rPr>
          <w:rFonts w:ascii="Times New Roman" w:hAnsi="Times New Roman"/>
          <w:i/>
          <w:iCs/>
          <w:sz w:val="24"/>
          <w:szCs w:val="24"/>
          <w:lang w:val="id-ID"/>
        </w:rPr>
        <w:t>(tax avoidance)</w:t>
      </w:r>
      <w:r w:rsidRPr="00E06946">
        <w:rPr>
          <w:rFonts w:ascii="Times New Roman" w:hAnsi="Times New Roman"/>
          <w:sz w:val="24"/>
          <w:szCs w:val="24"/>
          <w:lang w:val="id-ID"/>
        </w:rPr>
        <w:t xml:space="preserve"> maupun penggelapan pajak </w:t>
      </w:r>
      <w:r w:rsidRPr="008F55E7">
        <w:rPr>
          <w:rFonts w:ascii="Times New Roman" w:hAnsi="Times New Roman"/>
          <w:i/>
          <w:iCs/>
          <w:sz w:val="24"/>
          <w:szCs w:val="24"/>
          <w:lang w:val="id-ID"/>
        </w:rPr>
        <w:t>(tax evasion)</w:t>
      </w:r>
      <w:r w:rsidRPr="00E06946">
        <w:rPr>
          <w:rFonts w:ascii="Times New Roman" w:hAnsi="Times New Roman"/>
          <w:sz w:val="24"/>
          <w:szCs w:val="24"/>
          <w:lang w:val="id-ID"/>
        </w:rPr>
        <w:t xml:space="preserve">. Penghindaran pajak </w:t>
      </w:r>
      <w:r w:rsidRPr="008F55E7">
        <w:rPr>
          <w:rFonts w:ascii="Times New Roman" w:hAnsi="Times New Roman"/>
          <w:i/>
          <w:iCs/>
          <w:sz w:val="24"/>
          <w:szCs w:val="24"/>
          <w:lang w:val="id-ID"/>
        </w:rPr>
        <w:t>(tax avoidance)</w:t>
      </w:r>
      <w:r w:rsidRPr="00E06946">
        <w:rPr>
          <w:rFonts w:ascii="Times New Roman" w:hAnsi="Times New Roman"/>
          <w:sz w:val="24"/>
          <w:szCs w:val="24"/>
          <w:lang w:val="id-ID"/>
        </w:rPr>
        <w:t xml:space="preserve"> adalah upaya yang dilakukan untuk mengurangi beban pajak secara legal yang tidak melanggar peraturan perpajakan dengan memanfaatkan kelemahan ketentuan perpajakan dan memberikan dampak pada masyaraka</w:t>
      </w:r>
      <w:r w:rsidR="00AD41B8">
        <w:rPr>
          <w:rFonts w:ascii="Times New Roman" w:hAnsi="Times New Roman"/>
          <w:sz w:val="24"/>
          <w:szCs w:val="24"/>
          <w:lang w:val="id-ID"/>
        </w:rPr>
        <w:t>t</w:t>
      </w:r>
      <w:r w:rsidRPr="00E06946">
        <w:rPr>
          <w:rFonts w:ascii="Times New Roman" w:hAnsi="Times New Roman"/>
          <w:sz w:val="24"/>
          <w:szCs w:val="24"/>
          <w:lang w:val="id-ID"/>
        </w:rPr>
        <w:t>.</w:t>
      </w:r>
      <w:r w:rsidR="00AD41B8">
        <w:rPr>
          <w:rStyle w:val="FootnoteReference"/>
          <w:rFonts w:ascii="Times New Roman" w:hAnsi="Times New Roman"/>
          <w:sz w:val="24"/>
          <w:szCs w:val="24"/>
          <w:lang w:val="id-ID"/>
        </w:rPr>
        <w:footnoteReference w:id="2"/>
      </w:r>
      <w:r w:rsidRPr="00E06946">
        <w:rPr>
          <w:rFonts w:ascii="Times New Roman" w:hAnsi="Times New Roman"/>
          <w:sz w:val="24"/>
          <w:szCs w:val="24"/>
          <w:lang w:val="id-ID"/>
        </w:rPr>
        <w:t xml:space="preserve"> Penggelapan pajak merupakan tindakan ilegal yang dilakukan oleh wajib </w:t>
      </w:r>
      <w:r w:rsidRPr="00E06946">
        <w:rPr>
          <w:rFonts w:ascii="Times New Roman" w:hAnsi="Times New Roman"/>
          <w:sz w:val="24"/>
          <w:szCs w:val="24"/>
          <w:lang w:val="id-ID"/>
        </w:rPr>
        <w:lastRenderedPageBreak/>
        <w:t>pajak dengan cara menyembunyikan penghasilan, memalsukan laporan keuangan, atau menggunakan skema tertentu untuk menghindari pembayaran pajak yang sebenarnya terutang. Salah satu kasus terbesar di Indonesia yang mencerminkan tantangan dalam penegakan hukum perpajakan adalah kasus penggelapan pajak yang dilakukan oleh PT. Asian Agri</w:t>
      </w:r>
      <w:r w:rsidR="00AD41B8">
        <w:rPr>
          <w:rFonts w:ascii="Times New Roman" w:hAnsi="Times New Roman"/>
          <w:sz w:val="24"/>
          <w:szCs w:val="24"/>
          <w:lang w:val="id-ID"/>
        </w:rPr>
        <w:t>.</w:t>
      </w:r>
      <w:r w:rsidR="00AD41B8">
        <w:rPr>
          <w:rStyle w:val="FootnoteReference"/>
          <w:rFonts w:ascii="Times New Roman" w:hAnsi="Times New Roman"/>
          <w:sz w:val="24"/>
          <w:szCs w:val="24"/>
          <w:lang w:val="id-ID"/>
        </w:rPr>
        <w:footnoteReference w:id="3"/>
      </w:r>
    </w:p>
    <w:p w14:paraId="388E509E" w14:textId="173095D8" w:rsidR="00E06946" w:rsidRPr="00E06946" w:rsidRDefault="00E06946" w:rsidP="003B64CC">
      <w:pPr>
        <w:adjustRightInd w:val="0"/>
        <w:spacing w:after="0" w:line="360" w:lineRule="auto"/>
        <w:ind w:firstLine="720"/>
        <w:jc w:val="both"/>
        <w:rPr>
          <w:rFonts w:ascii="Times New Roman" w:hAnsi="Times New Roman"/>
          <w:sz w:val="24"/>
          <w:szCs w:val="24"/>
          <w:lang w:val="id-ID"/>
        </w:rPr>
      </w:pPr>
      <w:r w:rsidRPr="00E06946">
        <w:rPr>
          <w:rFonts w:ascii="Times New Roman" w:hAnsi="Times New Roman"/>
          <w:sz w:val="24"/>
          <w:szCs w:val="24"/>
          <w:lang w:val="id-ID"/>
        </w:rPr>
        <w:t>PT. Asian Agri Group, salah satu</w:t>
      </w:r>
      <w:r w:rsidR="008E0035">
        <w:rPr>
          <w:rFonts w:ascii="Times New Roman" w:hAnsi="Times New Roman"/>
          <w:sz w:val="24"/>
          <w:szCs w:val="24"/>
          <w:lang w:val="id-ID"/>
        </w:rPr>
        <w:t xml:space="preserve"> </w:t>
      </w:r>
      <w:r w:rsidRPr="00E06946">
        <w:rPr>
          <w:rFonts w:ascii="Times New Roman" w:hAnsi="Times New Roman"/>
          <w:sz w:val="24"/>
          <w:szCs w:val="24"/>
          <w:lang w:val="id-ID"/>
        </w:rPr>
        <w:t>perusahaan perkebunan kelapa sawit terbesar di Indonesia, terbukti melakukan penggelapan pajak melalui berbagai modus, seperti manipulasi laporan</w:t>
      </w:r>
      <w:r w:rsidR="008E0035">
        <w:rPr>
          <w:rFonts w:ascii="Times New Roman" w:hAnsi="Times New Roman"/>
          <w:sz w:val="24"/>
          <w:szCs w:val="24"/>
          <w:lang w:val="id-ID"/>
        </w:rPr>
        <w:t xml:space="preserve"> </w:t>
      </w:r>
      <w:r w:rsidRPr="00E06946">
        <w:rPr>
          <w:rFonts w:ascii="Times New Roman" w:hAnsi="Times New Roman"/>
          <w:sz w:val="24"/>
          <w:szCs w:val="24"/>
          <w:lang w:val="id-ID"/>
        </w:rPr>
        <w:t xml:space="preserve">keuangan, penggunaan pembukuan ganda, skema </w:t>
      </w:r>
      <w:r w:rsidRPr="00AF7218">
        <w:rPr>
          <w:rFonts w:ascii="Times New Roman" w:hAnsi="Times New Roman"/>
          <w:i/>
          <w:iCs/>
          <w:sz w:val="24"/>
          <w:szCs w:val="24"/>
          <w:lang w:val="id-ID"/>
        </w:rPr>
        <w:t>transfer pricing</w:t>
      </w:r>
      <w:r w:rsidRPr="00E06946">
        <w:rPr>
          <w:rFonts w:ascii="Times New Roman" w:hAnsi="Times New Roman"/>
          <w:sz w:val="24"/>
          <w:szCs w:val="24"/>
          <w:lang w:val="id-ID"/>
        </w:rPr>
        <w:t xml:space="preserve">, serta </w:t>
      </w:r>
      <w:r w:rsidRPr="007004E4">
        <w:rPr>
          <w:rFonts w:ascii="Times New Roman" w:hAnsi="Times New Roman"/>
          <w:i/>
          <w:iCs/>
          <w:sz w:val="24"/>
          <w:szCs w:val="24"/>
          <w:lang w:val="id-ID"/>
        </w:rPr>
        <w:t>hedging</w:t>
      </w:r>
      <w:r w:rsidRPr="00E06946">
        <w:rPr>
          <w:rFonts w:ascii="Times New Roman" w:hAnsi="Times New Roman"/>
          <w:sz w:val="24"/>
          <w:szCs w:val="24"/>
          <w:lang w:val="id-ID"/>
        </w:rPr>
        <w:t xml:space="preserve"> fiktif.</w:t>
      </w:r>
      <w:r w:rsidR="008E0035">
        <w:rPr>
          <w:rFonts w:ascii="Times New Roman" w:hAnsi="Times New Roman"/>
          <w:sz w:val="24"/>
          <w:szCs w:val="24"/>
          <w:lang w:val="id-ID"/>
        </w:rPr>
        <w:t xml:space="preserve"> </w:t>
      </w:r>
      <w:r w:rsidRPr="007004E4">
        <w:rPr>
          <w:rFonts w:ascii="Times New Roman" w:hAnsi="Times New Roman"/>
          <w:i/>
          <w:iCs/>
          <w:sz w:val="24"/>
          <w:szCs w:val="24"/>
          <w:lang w:val="id-ID"/>
        </w:rPr>
        <w:t>Transfer Pricing</w:t>
      </w:r>
      <w:r w:rsidRPr="00E06946">
        <w:rPr>
          <w:rFonts w:ascii="Times New Roman" w:hAnsi="Times New Roman"/>
          <w:sz w:val="24"/>
          <w:szCs w:val="24"/>
          <w:lang w:val="id-ID"/>
        </w:rPr>
        <w:t xml:space="preserve"> merupakan penetapan harga atas produk atau jasa yang dipindahkan dari satu divisi ke divisi lain dalam suatu perusahaan yang sama, atau antara perusahaan-perusahaan yang memiliki hubungan khusus. Dengan kata lain, </w:t>
      </w:r>
      <w:r w:rsidRPr="007004E4">
        <w:rPr>
          <w:rFonts w:ascii="Times New Roman" w:hAnsi="Times New Roman"/>
          <w:i/>
          <w:iCs/>
          <w:sz w:val="24"/>
          <w:szCs w:val="24"/>
          <w:lang w:val="id-ID"/>
        </w:rPr>
        <w:t>Transfer Pricing</w:t>
      </w:r>
      <w:r w:rsidRPr="00E06946">
        <w:rPr>
          <w:rFonts w:ascii="Times New Roman" w:hAnsi="Times New Roman"/>
          <w:sz w:val="24"/>
          <w:szCs w:val="24"/>
          <w:lang w:val="id-ID"/>
        </w:rPr>
        <w:t xml:space="preserve"> adalah harga yang dikenakan atau dibebankan atas transaksi barang atau jasa antara perusahaan yang masih berada dalam satu kelompok atau memiliki keterkaitan afiliasi</w:t>
      </w:r>
      <w:r w:rsidR="00AD41B8">
        <w:rPr>
          <w:rFonts w:ascii="Times New Roman" w:hAnsi="Times New Roman"/>
          <w:sz w:val="24"/>
          <w:szCs w:val="24"/>
          <w:lang w:val="id-ID"/>
        </w:rPr>
        <w:t>.</w:t>
      </w:r>
      <w:r w:rsidR="00AD41B8">
        <w:rPr>
          <w:rStyle w:val="FootnoteReference"/>
          <w:rFonts w:ascii="Times New Roman" w:hAnsi="Times New Roman"/>
          <w:sz w:val="24"/>
          <w:szCs w:val="24"/>
          <w:lang w:val="id-ID"/>
        </w:rPr>
        <w:footnoteReference w:id="4"/>
      </w:r>
      <w:r w:rsidR="00AD41B8">
        <w:rPr>
          <w:rFonts w:ascii="Times New Roman" w:hAnsi="Times New Roman"/>
          <w:sz w:val="24"/>
          <w:szCs w:val="24"/>
          <w:lang w:val="id-ID"/>
        </w:rPr>
        <w:t xml:space="preserve"> </w:t>
      </w:r>
      <w:r w:rsidRPr="00E06946">
        <w:rPr>
          <w:rFonts w:ascii="Times New Roman" w:hAnsi="Times New Roman"/>
          <w:sz w:val="24"/>
          <w:szCs w:val="24"/>
          <w:lang w:val="id-ID"/>
        </w:rPr>
        <w:t xml:space="preserve">Perusahaan ini menggunakan perusahaan cangkang </w:t>
      </w:r>
      <w:r w:rsidRPr="007004E4">
        <w:rPr>
          <w:rFonts w:ascii="Times New Roman" w:hAnsi="Times New Roman"/>
          <w:i/>
          <w:iCs/>
          <w:sz w:val="24"/>
          <w:szCs w:val="24"/>
          <w:lang w:val="id-ID"/>
        </w:rPr>
        <w:t>(shell companies)</w:t>
      </w:r>
      <w:r w:rsidRPr="00E06946">
        <w:rPr>
          <w:rFonts w:ascii="Times New Roman" w:hAnsi="Times New Roman"/>
          <w:sz w:val="24"/>
          <w:szCs w:val="24"/>
          <w:lang w:val="id-ID"/>
        </w:rPr>
        <w:t xml:space="preserve"> untuk mengurangi beban pajaknya secara ilegal, sehingga berpotensi merugikan negara hingga triliunan rupiah. Kasus ini kemudian diungkap melalui audit yang dilakukan oleh Direktorat Jenderal Pajak (DJP) serta penyelidikan oleh</w:t>
      </w:r>
      <w:r w:rsidR="009A6BD6">
        <w:rPr>
          <w:rFonts w:ascii="Times New Roman" w:hAnsi="Times New Roman"/>
          <w:sz w:val="24"/>
          <w:szCs w:val="24"/>
          <w:lang w:val="id-ID"/>
        </w:rPr>
        <w:t xml:space="preserve"> </w:t>
      </w:r>
      <w:r w:rsidRPr="00E06946">
        <w:rPr>
          <w:rFonts w:ascii="Times New Roman" w:hAnsi="Times New Roman"/>
          <w:sz w:val="24"/>
          <w:szCs w:val="24"/>
          <w:lang w:val="id-ID"/>
        </w:rPr>
        <w:t xml:space="preserve">Komisi Pemberantasan Korupsi (KPK). Berdasarkan putusan Mahkamah Agung (MA) tahun 2012, PT. Asian Agri </w:t>
      </w:r>
      <w:r w:rsidR="004529B8">
        <w:rPr>
          <w:rFonts w:ascii="Times New Roman" w:hAnsi="Times New Roman"/>
          <w:sz w:val="24"/>
          <w:szCs w:val="24"/>
          <w:lang w:val="id-ID"/>
        </w:rPr>
        <w:t xml:space="preserve">Group </w:t>
      </w:r>
      <w:r w:rsidRPr="00E06946">
        <w:rPr>
          <w:rFonts w:ascii="Times New Roman" w:hAnsi="Times New Roman"/>
          <w:sz w:val="24"/>
          <w:szCs w:val="24"/>
          <w:lang w:val="id-ID"/>
        </w:rPr>
        <w:t>dinyatakan</w:t>
      </w:r>
      <w:r w:rsidR="009A6BD6">
        <w:rPr>
          <w:rFonts w:ascii="Times New Roman" w:hAnsi="Times New Roman"/>
          <w:sz w:val="24"/>
          <w:szCs w:val="24"/>
          <w:lang w:val="id-ID"/>
        </w:rPr>
        <w:t xml:space="preserve"> </w:t>
      </w:r>
      <w:r w:rsidRPr="00E06946">
        <w:rPr>
          <w:rFonts w:ascii="Times New Roman" w:hAnsi="Times New Roman"/>
          <w:sz w:val="24"/>
          <w:szCs w:val="24"/>
          <w:lang w:val="id-ID"/>
        </w:rPr>
        <w:t>bersalah atas tindak pidana perpajakan dan dikenakan</w:t>
      </w:r>
      <w:r w:rsidR="009A6BD6">
        <w:rPr>
          <w:rFonts w:ascii="Times New Roman" w:hAnsi="Times New Roman"/>
          <w:sz w:val="24"/>
          <w:szCs w:val="24"/>
          <w:lang w:val="id-ID"/>
        </w:rPr>
        <w:t xml:space="preserve"> </w:t>
      </w:r>
      <w:r w:rsidRPr="00E06946">
        <w:rPr>
          <w:rFonts w:ascii="Times New Roman" w:hAnsi="Times New Roman"/>
          <w:sz w:val="24"/>
          <w:szCs w:val="24"/>
          <w:lang w:val="id-ID"/>
        </w:rPr>
        <w:t>denda sebesar Rp. 2.519.000.000.000, menjadikannya salah satu kasus perpajakan dengan sanksi finansial terbesar dalam sejarah Indonesia</w:t>
      </w:r>
      <w:r w:rsidR="00AD41B8">
        <w:rPr>
          <w:rFonts w:ascii="Times New Roman" w:hAnsi="Times New Roman"/>
          <w:sz w:val="24"/>
          <w:szCs w:val="24"/>
          <w:lang w:val="id-ID"/>
        </w:rPr>
        <w:t>.</w:t>
      </w:r>
      <w:r w:rsidR="00AD41B8">
        <w:rPr>
          <w:rStyle w:val="FootnoteReference"/>
          <w:rFonts w:ascii="Times New Roman" w:hAnsi="Times New Roman"/>
          <w:sz w:val="24"/>
          <w:szCs w:val="24"/>
          <w:lang w:val="id-ID"/>
        </w:rPr>
        <w:footnoteReference w:id="5"/>
      </w:r>
    </w:p>
    <w:p w14:paraId="03C54573" w14:textId="14C568E7" w:rsidR="000F514F" w:rsidRDefault="00E06946" w:rsidP="003B64CC">
      <w:pPr>
        <w:adjustRightInd w:val="0"/>
        <w:spacing w:after="0" w:line="360" w:lineRule="auto"/>
        <w:ind w:firstLine="720"/>
        <w:jc w:val="both"/>
        <w:rPr>
          <w:rFonts w:ascii="Times New Roman" w:hAnsi="Times New Roman"/>
          <w:sz w:val="24"/>
          <w:szCs w:val="24"/>
          <w:lang w:val="id-ID"/>
        </w:rPr>
      </w:pPr>
      <w:r w:rsidRPr="00E06946">
        <w:rPr>
          <w:rFonts w:ascii="Times New Roman" w:hAnsi="Times New Roman"/>
          <w:sz w:val="24"/>
          <w:szCs w:val="24"/>
          <w:lang w:val="id-ID"/>
        </w:rPr>
        <w:t xml:space="preserve">Putusan MA terhadap PT. Asian Agri menjadi penting dalam penegakan hukum pajak di Indonesia karena menegaskan penerapan prinsip </w:t>
      </w:r>
      <w:r w:rsidRPr="001323ED">
        <w:rPr>
          <w:rFonts w:ascii="Times New Roman" w:hAnsi="Times New Roman"/>
          <w:i/>
          <w:iCs/>
          <w:sz w:val="24"/>
          <w:szCs w:val="24"/>
          <w:lang w:val="id-ID"/>
        </w:rPr>
        <w:t>corporate liability</w:t>
      </w:r>
      <w:r w:rsidRPr="00E06946">
        <w:rPr>
          <w:rFonts w:ascii="Times New Roman" w:hAnsi="Times New Roman"/>
          <w:sz w:val="24"/>
          <w:szCs w:val="24"/>
          <w:lang w:val="id-ID"/>
        </w:rPr>
        <w:t xml:space="preserve">, dimana perusahaan dapat </w:t>
      </w:r>
      <w:r w:rsidRPr="00E06946">
        <w:rPr>
          <w:rFonts w:ascii="Times New Roman" w:hAnsi="Times New Roman"/>
          <w:sz w:val="24"/>
          <w:szCs w:val="24"/>
          <w:lang w:val="id-ID"/>
        </w:rPr>
        <w:lastRenderedPageBreak/>
        <w:t>bertanggung jawab atas tindakan pidana yang dilakukan oleh individu di dalamnya</w:t>
      </w:r>
      <w:r w:rsidR="00AD41B8">
        <w:rPr>
          <w:rFonts w:ascii="Times New Roman" w:hAnsi="Times New Roman"/>
          <w:sz w:val="24"/>
          <w:szCs w:val="24"/>
          <w:lang w:val="id-ID"/>
        </w:rPr>
        <w:t>.</w:t>
      </w:r>
      <w:r w:rsidR="00AD41B8">
        <w:rPr>
          <w:rStyle w:val="FootnoteReference"/>
          <w:rFonts w:ascii="Times New Roman" w:hAnsi="Times New Roman"/>
          <w:sz w:val="24"/>
          <w:szCs w:val="24"/>
          <w:lang w:val="id-ID"/>
        </w:rPr>
        <w:footnoteReference w:id="6"/>
      </w:r>
      <w:r w:rsidR="00AD41B8">
        <w:rPr>
          <w:rFonts w:ascii="Times New Roman" w:hAnsi="Times New Roman"/>
          <w:sz w:val="24"/>
          <w:szCs w:val="24"/>
          <w:lang w:val="id-ID"/>
        </w:rPr>
        <w:t xml:space="preserve"> </w:t>
      </w:r>
      <w:r w:rsidRPr="00E06946">
        <w:rPr>
          <w:rFonts w:ascii="Times New Roman" w:hAnsi="Times New Roman"/>
          <w:sz w:val="24"/>
          <w:szCs w:val="24"/>
          <w:lang w:val="id-ID"/>
        </w:rPr>
        <w:t>Selain itu, putusan ini juga menunjukkan bahwa tindak pidana perpajakan dapat dikategorikan sebagai kejahatan, bukan sekadar pelanggaran administratif. Namun, meskipun hukuman telah dijatuhkan, proses hukum yang panjang dan skema pembayaran denda secara cicilan mencerminkan adanya tantangan dalam menegakkan hukum pajak secara konsisten dan efektif.</w:t>
      </w:r>
      <w:r w:rsidR="001323ED">
        <w:rPr>
          <w:rFonts w:ascii="Times New Roman" w:hAnsi="Times New Roman"/>
          <w:sz w:val="24"/>
          <w:szCs w:val="24"/>
          <w:lang w:val="id-ID"/>
        </w:rPr>
        <w:t xml:space="preserve"> </w:t>
      </w:r>
    </w:p>
    <w:p w14:paraId="262DC9BB" w14:textId="7D0D70B3" w:rsidR="00B142D6" w:rsidRDefault="00E06946" w:rsidP="00B85E90">
      <w:pPr>
        <w:adjustRightInd w:val="0"/>
        <w:spacing w:after="0" w:line="360" w:lineRule="auto"/>
        <w:ind w:firstLine="720"/>
        <w:jc w:val="both"/>
        <w:rPr>
          <w:rFonts w:ascii="Times New Roman" w:hAnsi="Times New Roman"/>
          <w:color w:val="4F81BD" w:themeColor="accent1"/>
          <w:sz w:val="24"/>
          <w:szCs w:val="24"/>
        </w:rPr>
      </w:pPr>
      <w:r w:rsidRPr="00E06946">
        <w:rPr>
          <w:rFonts w:ascii="Times New Roman" w:hAnsi="Times New Roman"/>
          <w:sz w:val="24"/>
          <w:szCs w:val="24"/>
          <w:lang w:val="id-ID"/>
        </w:rPr>
        <w:t>Kasus ini menggarisbawahi perlunya reformasi sistemik dalam regulasi perpajakan di Indonesia guna menutup celah hukum yang sering dimanfaatkan oleh perusahaan untuk menghindari kewajiban pajaknya. Undang-Undang Nomor 7 Tahun 2021 tentang Harmonisasi Peraturan Perpajakan telah diperkenalkan untuk meningkatkan kepatuhan dan efektivitas pengawasan perpajakan, tetapi masih diperlukan upaya lebih lanjut untuk memastikan implementasi yang efektif. Oleh karena itu, kajian ini bertujuan untuk meninjau aspek hukum dalam kasus penggelapan pajak PT. Asian Agri Group serta implikasinya terhadap sistem perpajakan Indonesia. Dengan menganalisis modus penggelapan pajak, putusan pengadilan, serta dampaknya terhadap</w:t>
      </w:r>
      <w:r w:rsidR="007F3034">
        <w:rPr>
          <w:rFonts w:ascii="Times New Roman" w:hAnsi="Times New Roman"/>
          <w:sz w:val="24"/>
          <w:szCs w:val="24"/>
          <w:lang w:val="id-ID"/>
        </w:rPr>
        <w:t xml:space="preserve"> </w:t>
      </w:r>
      <w:r w:rsidRPr="00E06946">
        <w:rPr>
          <w:rFonts w:ascii="Times New Roman" w:hAnsi="Times New Roman"/>
          <w:sz w:val="24"/>
          <w:szCs w:val="24"/>
          <w:lang w:val="id-ID"/>
        </w:rPr>
        <w:t>kebijakan perpajakan nasional, penelitian ini diharapkan dapat memberikan wawasan mengenai tantangan dan peluang dalam reformasi perpajakan guna meningkatkan transparansi dan kepatuhan wajib pajak di masa depan. Berdasarkan pemaparan di atas, maka peneliti menarik tiga rumusan masalah, yaitu : bagaimana analisis hukum terhadap kasus penggelapan pajak yang dilakukan oleh PT. Asian Agri Group, bagaimana bentuk pertanggungjawaban korporasi dalam tindak pidana perpajakan di</w:t>
      </w:r>
      <w:r w:rsidR="007F3034">
        <w:rPr>
          <w:rFonts w:ascii="Times New Roman" w:hAnsi="Times New Roman"/>
          <w:sz w:val="24"/>
          <w:szCs w:val="24"/>
          <w:lang w:val="id-ID"/>
        </w:rPr>
        <w:t xml:space="preserve"> </w:t>
      </w:r>
      <w:r w:rsidR="007F3034" w:rsidRPr="0083125A">
        <w:rPr>
          <w:rFonts w:ascii="Times New Roman" w:hAnsi="Times New Roman"/>
          <w:color w:val="4F81BD" w:themeColor="accent1"/>
          <w:sz w:val="24"/>
          <w:szCs w:val="24"/>
        </w:rPr>
        <w:t xml:space="preserve"> </w:t>
      </w:r>
      <w:r w:rsidR="00A20E36" w:rsidRPr="00764CE9">
        <w:rPr>
          <w:rFonts w:ascii="Times New Roman" w:hAnsi="Times New Roman"/>
          <w:color w:val="000000" w:themeColor="text1"/>
          <w:sz w:val="24"/>
          <w:szCs w:val="24"/>
        </w:rPr>
        <w:t>Indonesia, dan apa implikasi dari kasus PT. Asian</w:t>
      </w:r>
      <w:r w:rsidR="00A20E36">
        <w:rPr>
          <w:rFonts w:ascii="Times New Roman" w:hAnsi="Times New Roman"/>
          <w:color w:val="4F81BD" w:themeColor="accent1"/>
          <w:sz w:val="24"/>
          <w:szCs w:val="24"/>
        </w:rPr>
        <w:t xml:space="preserve"> </w:t>
      </w:r>
      <w:r w:rsidR="00A20E36">
        <w:rPr>
          <w:rFonts w:ascii="Times New Roman" w:hAnsi="Times New Roman"/>
          <w:sz w:val="24"/>
          <w:szCs w:val="24"/>
          <w:lang w:val="id-ID"/>
        </w:rPr>
        <w:t>Agri Group terhadap sistem perpajakan di Indonesia.</w:t>
      </w:r>
    </w:p>
    <w:p w14:paraId="20B215E4" w14:textId="77777777" w:rsidR="009D011A" w:rsidRPr="00733C29" w:rsidRDefault="009D011A" w:rsidP="00733C29">
      <w:pPr>
        <w:adjustRightInd w:val="0"/>
        <w:spacing w:after="0" w:line="360" w:lineRule="auto"/>
        <w:jc w:val="both"/>
        <w:rPr>
          <w:rFonts w:ascii="Times New Roman" w:hAnsi="Times New Roman"/>
          <w:b/>
          <w:sz w:val="24"/>
          <w:szCs w:val="24"/>
        </w:rPr>
      </w:pPr>
    </w:p>
    <w:p w14:paraId="18E0F53C" w14:textId="21C4AB21" w:rsidR="00733C29" w:rsidRDefault="009D011A" w:rsidP="00E9077D">
      <w:pPr>
        <w:adjustRightInd w:val="0"/>
        <w:spacing w:after="0" w:line="360" w:lineRule="auto"/>
        <w:jc w:val="both"/>
        <w:rPr>
          <w:rFonts w:ascii="Times New Roman" w:hAnsi="Times New Roman"/>
          <w:b/>
          <w:bCs/>
          <w:color w:val="0D0D0D" w:themeColor="text1" w:themeTint="F2"/>
          <w:sz w:val="24"/>
          <w:szCs w:val="24"/>
        </w:rPr>
      </w:pPr>
      <w:r w:rsidRPr="009D011A">
        <w:rPr>
          <w:rFonts w:ascii="Times New Roman" w:hAnsi="Times New Roman"/>
          <w:b/>
          <w:bCs/>
          <w:color w:val="0D0D0D" w:themeColor="text1" w:themeTint="F2"/>
          <w:sz w:val="24"/>
          <w:szCs w:val="24"/>
        </w:rPr>
        <w:t>METODE PENELITIAN</w:t>
      </w:r>
      <w:r>
        <w:rPr>
          <w:rFonts w:ascii="Times New Roman" w:hAnsi="Times New Roman"/>
          <w:b/>
          <w:bCs/>
          <w:color w:val="0D0D0D" w:themeColor="text1" w:themeTint="F2"/>
          <w:sz w:val="24"/>
          <w:szCs w:val="24"/>
        </w:rPr>
        <w:t xml:space="preserve"> </w:t>
      </w:r>
    </w:p>
    <w:p w14:paraId="195C70D8" w14:textId="64538635" w:rsidR="009D011A" w:rsidRDefault="002E76DE" w:rsidP="002E76DE">
      <w:pPr>
        <w:pStyle w:val="ListParagraph"/>
        <w:numPr>
          <w:ilvl w:val="0"/>
          <w:numId w:val="5"/>
        </w:numPr>
        <w:adjustRightInd w:val="0"/>
        <w:spacing w:after="0" w:line="360" w:lineRule="auto"/>
        <w:jc w:val="both"/>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 xml:space="preserve">Jenis dan </w:t>
      </w:r>
      <w:r w:rsidR="00AB731E">
        <w:rPr>
          <w:rFonts w:ascii="Times New Roman" w:hAnsi="Times New Roman"/>
          <w:b/>
          <w:bCs/>
          <w:color w:val="0D0D0D" w:themeColor="text1" w:themeTint="F2"/>
          <w:sz w:val="24"/>
          <w:szCs w:val="24"/>
        </w:rPr>
        <w:t>Pendekatan Penelitian</w:t>
      </w:r>
    </w:p>
    <w:p w14:paraId="73AEF6A1" w14:textId="07A96D81" w:rsidR="00D11D73" w:rsidRDefault="00FA7073" w:rsidP="00D11D73">
      <w:pPr>
        <w:pStyle w:val="ListParagraph"/>
        <w:adjustRightInd w:val="0"/>
        <w:spacing w:after="0"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Penelitian ini menggunakan metode yuridis n</w:t>
      </w:r>
      <w:r w:rsidRPr="00FA7073">
        <w:rPr>
          <w:rFonts w:ascii="Times New Roman" w:hAnsi="Times New Roman"/>
          <w:color w:val="0D0D0D" w:themeColor="text1" w:themeTint="F2"/>
          <w:sz w:val="24"/>
          <w:szCs w:val="24"/>
        </w:rPr>
        <w:t xml:space="preserve">ormatif, yaitu metode penelitian hukum yang </w:t>
      </w:r>
      <w:r w:rsidR="001D21F0">
        <w:rPr>
          <w:rFonts w:ascii="Times New Roman" w:hAnsi="Times New Roman"/>
          <w:color w:val="0D0D0D" w:themeColor="text1" w:themeTint="F2"/>
          <w:sz w:val="24"/>
          <w:szCs w:val="24"/>
        </w:rPr>
        <w:t>m</w:t>
      </w:r>
      <w:r w:rsidRPr="001D21F0">
        <w:rPr>
          <w:rFonts w:ascii="Times New Roman" w:hAnsi="Times New Roman"/>
          <w:color w:val="0D0D0D" w:themeColor="text1" w:themeTint="F2"/>
          <w:sz w:val="24"/>
          <w:szCs w:val="24"/>
        </w:rPr>
        <w:t>enelaah teori-teori, konsep-konsep, serta norma-</w:t>
      </w:r>
      <w:r w:rsidR="001D21F0">
        <w:rPr>
          <w:rFonts w:ascii="Times New Roman" w:hAnsi="Times New Roman"/>
          <w:color w:val="0D0D0D" w:themeColor="text1" w:themeTint="F2"/>
          <w:sz w:val="24"/>
          <w:szCs w:val="24"/>
        </w:rPr>
        <w:t>n</w:t>
      </w:r>
      <w:r w:rsidRPr="001D21F0">
        <w:rPr>
          <w:rFonts w:ascii="Times New Roman" w:hAnsi="Times New Roman"/>
          <w:color w:val="0D0D0D" w:themeColor="text1" w:themeTint="F2"/>
          <w:sz w:val="24"/>
          <w:szCs w:val="24"/>
        </w:rPr>
        <w:t xml:space="preserve">orma hukum positif yang </w:t>
      </w:r>
      <w:r w:rsidRPr="001D21F0">
        <w:rPr>
          <w:rFonts w:ascii="Times New Roman" w:hAnsi="Times New Roman"/>
          <w:color w:val="0D0D0D" w:themeColor="text1" w:themeTint="F2"/>
          <w:sz w:val="24"/>
          <w:szCs w:val="24"/>
        </w:rPr>
        <w:lastRenderedPageBreak/>
        <w:t xml:space="preserve">tertuang dalam peraturan </w:t>
      </w:r>
      <w:r w:rsidR="001D21F0">
        <w:rPr>
          <w:rFonts w:ascii="Times New Roman" w:hAnsi="Times New Roman"/>
          <w:color w:val="0D0D0D" w:themeColor="text1" w:themeTint="F2"/>
          <w:sz w:val="24"/>
          <w:szCs w:val="24"/>
        </w:rPr>
        <w:t>p</w:t>
      </w:r>
      <w:r w:rsidRPr="001D21F0">
        <w:rPr>
          <w:rFonts w:ascii="Times New Roman" w:hAnsi="Times New Roman"/>
          <w:color w:val="0D0D0D" w:themeColor="text1" w:themeTint="F2"/>
          <w:sz w:val="24"/>
          <w:szCs w:val="24"/>
        </w:rPr>
        <w:t xml:space="preserve">erundang-undangan dan putusan pengadilan. Fokus </w:t>
      </w:r>
      <w:r w:rsidR="00E14DFF">
        <w:rPr>
          <w:rFonts w:ascii="Times New Roman" w:hAnsi="Times New Roman"/>
          <w:color w:val="0D0D0D" w:themeColor="text1" w:themeTint="F2"/>
          <w:sz w:val="24"/>
          <w:szCs w:val="24"/>
        </w:rPr>
        <w:t>u</w:t>
      </w:r>
      <w:r w:rsidRPr="00E14DFF">
        <w:rPr>
          <w:rFonts w:ascii="Times New Roman" w:hAnsi="Times New Roman"/>
          <w:color w:val="0D0D0D" w:themeColor="text1" w:themeTint="F2"/>
          <w:sz w:val="24"/>
          <w:szCs w:val="24"/>
        </w:rPr>
        <w:t xml:space="preserve">tama dari metode ini adalah pada aspek internal </w:t>
      </w:r>
      <w:r w:rsidR="00E14DFF">
        <w:rPr>
          <w:rFonts w:ascii="Times New Roman" w:hAnsi="Times New Roman"/>
          <w:color w:val="0D0D0D" w:themeColor="text1" w:themeTint="F2"/>
          <w:sz w:val="24"/>
          <w:szCs w:val="24"/>
        </w:rPr>
        <w:t>h</w:t>
      </w:r>
      <w:r w:rsidRPr="00E14DFF">
        <w:rPr>
          <w:rFonts w:ascii="Times New Roman" w:hAnsi="Times New Roman"/>
          <w:color w:val="0D0D0D" w:themeColor="text1" w:themeTint="F2"/>
          <w:sz w:val="24"/>
          <w:szCs w:val="24"/>
        </w:rPr>
        <w:t xml:space="preserve">ukum, sehingga penelitian diarahkan untuk </w:t>
      </w:r>
      <w:r w:rsidR="00E14DFF">
        <w:rPr>
          <w:rFonts w:ascii="Times New Roman" w:hAnsi="Times New Roman"/>
          <w:color w:val="0D0D0D" w:themeColor="text1" w:themeTint="F2"/>
          <w:sz w:val="24"/>
          <w:szCs w:val="24"/>
        </w:rPr>
        <w:t>m</w:t>
      </w:r>
      <w:r w:rsidRPr="00E14DFF">
        <w:rPr>
          <w:rFonts w:ascii="Times New Roman" w:hAnsi="Times New Roman"/>
          <w:color w:val="0D0D0D" w:themeColor="text1" w:themeTint="F2"/>
          <w:sz w:val="24"/>
          <w:szCs w:val="24"/>
        </w:rPr>
        <w:t xml:space="preserve">enganalisis dan menginterpretasikan ketentuan </w:t>
      </w:r>
      <w:r w:rsidR="00E14DFF">
        <w:rPr>
          <w:rFonts w:ascii="Times New Roman" w:hAnsi="Times New Roman"/>
          <w:color w:val="0D0D0D" w:themeColor="text1" w:themeTint="F2"/>
          <w:sz w:val="24"/>
          <w:szCs w:val="24"/>
        </w:rPr>
        <w:t>h</w:t>
      </w:r>
      <w:r w:rsidRPr="00E14DFF">
        <w:rPr>
          <w:rFonts w:ascii="Times New Roman" w:hAnsi="Times New Roman"/>
          <w:color w:val="0D0D0D" w:themeColor="text1" w:themeTint="F2"/>
          <w:sz w:val="24"/>
          <w:szCs w:val="24"/>
        </w:rPr>
        <w:t xml:space="preserve">ukum yang berlaku, prinsip-prinsip, serta doktrin </w:t>
      </w:r>
      <w:r w:rsidR="00E14DFF">
        <w:rPr>
          <w:rFonts w:ascii="Times New Roman" w:hAnsi="Times New Roman"/>
          <w:color w:val="0D0D0D" w:themeColor="text1" w:themeTint="F2"/>
          <w:sz w:val="24"/>
          <w:szCs w:val="24"/>
        </w:rPr>
        <w:t>h</w:t>
      </w:r>
      <w:r w:rsidRPr="00E14DFF">
        <w:rPr>
          <w:rFonts w:ascii="Times New Roman" w:hAnsi="Times New Roman"/>
          <w:color w:val="0D0D0D" w:themeColor="text1" w:themeTint="F2"/>
          <w:sz w:val="24"/>
          <w:szCs w:val="24"/>
        </w:rPr>
        <w:t xml:space="preserve">ukum yang relevan dengan isu yang diangkat. Pendekatan yang digunakan dalam penelitian ini </w:t>
      </w:r>
      <w:r w:rsidR="00FC7D5E">
        <w:rPr>
          <w:rFonts w:ascii="Times New Roman" w:hAnsi="Times New Roman"/>
          <w:color w:val="0D0D0D" w:themeColor="text1" w:themeTint="F2"/>
          <w:sz w:val="24"/>
          <w:szCs w:val="24"/>
        </w:rPr>
        <w:t>a</w:t>
      </w:r>
      <w:r w:rsidRPr="00FC7D5E">
        <w:rPr>
          <w:rFonts w:ascii="Times New Roman" w:hAnsi="Times New Roman"/>
          <w:color w:val="0D0D0D" w:themeColor="text1" w:themeTint="F2"/>
          <w:sz w:val="24"/>
          <w:szCs w:val="24"/>
        </w:rPr>
        <w:t xml:space="preserve">dalah </w:t>
      </w:r>
      <w:r w:rsidRPr="00FC7D5E">
        <w:rPr>
          <w:rFonts w:ascii="Times New Roman" w:hAnsi="Times New Roman"/>
          <w:i/>
          <w:iCs/>
          <w:color w:val="0D0D0D" w:themeColor="text1" w:themeTint="F2"/>
          <w:sz w:val="24"/>
          <w:szCs w:val="24"/>
        </w:rPr>
        <w:t>case approach</w:t>
      </w:r>
      <w:r w:rsidRPr="00FC7D5E">
        <w:rPr>
          <w:rFonts w:ascii="Times New Roman" w:hAnsi="Times New Roman"/>
          <w:color w:val="0D0D0D" w:themeColor="text1" w:themeTint="F2"/>
          <w:sz w:val="24"/>
          <w:szCs w:val="24"/>
        </w:rPr>
        <w:t xml:space="preserve"> (pendekatan kasus) dan </w:t>
      </w:r>
      <w:r w:rsidRPr="00D11D73">
        <w:rPr>
          <w:rFonts w:ascii="Times New Roman" w:hAnsi="Times New Roman"/>
          <w:i/>
          <w:iCs/>
          <w:color w:val="0D0D0D" w:themeColor="text1" w:themeTint="F2"/>
          <w:sz w:val="24"/>
          <w:szCs w:val="24"/>
        </w:rPr>
        <w:t xml:space="preserve">statue </w:t>
      </w:r>
      <w:r w:rsidR="00FC7D5E" w:rsidRPr="00D11D73">
        <w:rPr>
          <w:rFonts w:ascii="Times New Roman" w:hAnsi="Times New Roman"/>
          <w:i/>
          <w:iCs/>
          <w:color w:val="0D0D0D" w:themeColor="text1" w:themeTint="F2"/>
          <w:sz w:val="24"/>
          <w:szCs w:val="24"/>
        </w:rPr>
        <w:t>a</w:t>
      </w:r>
      <w:r w:rsidRPr="00D11D73">
        <w:rPr>
          <w:rFonts w:ascii="Times New Roman" w:hAnsi="Times New Roman"/>
          <w:i/>
          <w:iCs/>
          <w:color w:val="0D0D0D" w:themeColor="text1" w:themeTint="F2"/>
          <w:sz w:val="24"/>
          <w:szCs w:val="24"/>
        </w:rPr>
        <w:t>pproach</w:t>
      </w:r>
      <w:r w:rsidRPr="00FC7D5E">
        <w:rPr>
          <w:rFonts w:ascii="Times New Roman" w:hAnsi="Times New Roman"/>
          <w:color w:val="0D0D0D" w:themeColor="text1" w:themeTint="F2"/>
          <w:sz w:val="24"/>
          <w:szCs w:val="24"/>
        </w:rPr>
        <w:t xml:space="preserve"> (pendekatan perundang-undangan).</w:t>
      </w:r>
      <w:r w:rsidR="00AD41B8">
        <w:rPr>
          <w:rStyle w:val="FootnoteReference"/>
          <w:rFonts w:ascii="Times New Roman" w:hAnsi="Times New Roman"/>
          <w:color w:val="0D0D0D" w:themeColor="text1" w:themeTint="F2"/>
          <w:sz w:val="24"/>
          <w:szCs w:val="24"/>
        </w:rPr>
        <w:footnoteReference w:id="7"/>
      </w:r>
      <w:r w:rsidRPr="00FC7D5E">
        <w:rPr>
          <w:rFonts w:ascii="Times New Roman" w:hAnsi="Times New Roman"/>
          <w:color w:val="0D0D0D" w:themeColor="text1" w:themeTint="F2"/>
          <w:sz w:val="24"/>
          <w:szCs w:val="24"/>
        </w:rPr>
        <w:t xml:space="preserve"> </w:t>
      </w:r>
    </w:p>
    <w:p w14:paraId="529AFF24" w14:textId="77777777" w:rsidR="00D11D73" w:rsidRDefault="00FA7073" w:rsidP="00D11D73">
      <w:pPr>
        <w:pStyle w:val="ListParagraph"/>
        <w:numPr>
          <w:ilvl w:val="1"/>
          <w:numId w:val="5"/>
        </w:numPr>
        <w:adjustRightInd w:val="0"/>
        <w:spacing w:after="0" w:line="360" w:lineRule="auto"/>
        <w:jc w:val="both"/>
        <w:rPr>
          <w:rFonts w:ascii="Times New Roman" w:hAnsi="Times New Roman"/>
          <w:color w:val="0D0D0D" w:themeColor="text1" w:themeTint="F2"/>
          <w:sz w:val="24"/>
          <w:szCs w:val="24"/>
        </w:rPr>
      </w:pPr>
      <w:r w:rsidRPr="00D11D73">
        <w:rPr>
          <w:rFonts w:ascii="Times New Roman" w:hAnsi="Times New Roman"/>
          <w:i/>
          <w:iCs/>
          <w:color w:val="0D0D0D" w:themeColor="text1" w:themeTint="F2"/>
          <w:sz w:val="24"/>
          <w:szCs w:val="24"/>
        </w:rPr>
        <w:t>Case Approach</w:t>
      </w:r>
      <w:r w:rsidRPr="00D11D73">
        <w:rPr>
          <w:rFonts w:ascii="Times New Roman" w:hAnsi="Times New Roman"/>
          <w:color w:val="0D0D0D" w:themeColor="text1" w:themeTint="F2"/>
          <w:sz w:val="24"/>
          <w:szCs w:val="24"/>
        </w:rPr>
        <w:t xml:space="preserve"> (Pendekatan Kasus)</w:t>
      </w:r>
    </w:p>
    <w:p w14:paraId="4F707006" w14:textId="77777777" w:rsidR="00C80F9E" w:rsidRDefault="00FA7073" w:rsidP="00C80F9E">
      <w:pPr>
        <w:pStyle w:val="ListParagraph"/>
        <w:adjustRightInd w:val="0"/>
        <w:spacing w:after="0" w:line="360" w:lineRule="auto"/>
        <w:ind w:left="1440"/>
        <w:jc w:val="both"/>
        <w:rPr>
          <w:rFonts w:ascii="Times New Roman" w:hAnsi="Times New Roman"/>
          <w:color w:val="0D0D0D" w:themeColor="text1" w:themeTint="F2"/>
          <w:sz w:val="24"/>
          <w:szCs w:val="24"/>
        </w:rPr>
      </w:pPr>
      <w:r w:rsidRPr="00D11D73">
        <w:rPr>
          <w:rFonts w:ascii="Times New Roman" w:hAnsi="Times New Roman"/>
          <w:color w:val="0D0D0D" w:themeColor="text1" w:themeTint="F2"/>
          <w:sz w:val="24"/>
          <w:szCs w:val="24"/>
        </w:rPr>
        <w:t xml:space="preserve">Pendekatan ini dilakukan dengan menelaah </w:t>
      </w:r>
      <w:r w:rsidR="00D11D73">
        <w:rPr>
          <w:rFonts w:ascii="Times New Roman" w:hAnsi="Times New Roman"/>
          <w:color w:val="0D0D0D" w:themeColor="text1" w:themeTint="F2"/>
          <w:sz w:val="24"/>
          <w:szCs w:val="24"/>
        </w:rPr>
        <w:t>k</w:t>
      </w:r>
      <w:r w:rsidRPr="00D11D73">
        <w:rPr>
          <w:rFonts w:ascii="Times New Roman" w:hAnsi="Times New Roman"/>
          <w:color w:val="0D0D0D" w:themeColor="text1" w:themeTint="F2"/>
          <w:sz w:val="24"/>
          <w:szCs w:val="24"/>
        </w:rPr>
        <w:t xml:space="preserve">asus-kasus konkret yang telah memperoleh </w:t>
      </w:r>
      <w:r w:rsidR="00D11D73">
        <w:rPr>
          <w:rFonts w:ascii="Times New Roman" w:hAnsi="Times New Roman"/>
          <w:color w:val="0D0D0D" w:themeColor="text1" w:themeTint="F2"/>
          <w:sz w:val="24"/>
          <w:szCs w:val="24"/>
        </w:rPr>
        <w:t>p</w:t>
      </w:r>
      <w:r w:rsidRPr="00D11D73">
        <w:rPr>
          <w:rFonts w:ascii="Times New Roman" w:hAnsi="Times New Roman"/>
          <w:color w:val="0D0D0D" w:themeColor="text1" w:themeTint="F2"/>
          <w:sz w:val="24"/>
          <w:szCs w:val="24"/>
        </w:rPr>
        <w:t xml:space="preserve">utusan pengadilan berkekuatan hukum </w:t>
      </w:r>
      <w:r w:rsidR="00D11D73">
        <w:rPr>
          <w:rFonts w:ascii="Times New Roman" w:hAnsi="Times New Roman"/>
          <w:color w:val="0D0D0D" w:themeColor="text1" w:themeTint="F2"/>
          <w:sz w:val="24"/>
          <w:szCs w:val="24"/>
        </w:rPr>
        <w:t>t</w:t>
      </w:r>
      <w:r w:rsidRPr="00D11D73">
        <w:rPr>
          <w:rFonts w:ascii="Times New Roman" w:hAnsi="Times New Roman"/>
          <w:color w:val="0D0D0D" w:themeColor="text1" w:themeTint="F2"/>
          <w:sz w:val="24"/>
          <w:szCs w:val="24"/>
        </w:rPr>
        <w:t xml:space="preserve">etap, dalam hal ini Putusan Mahkamah </w:t>
      </w:r>
      <w:r w:rsidRPr="00C80F9E">
        <w:rPr>
          <w:rFonts w:ascii="Times New Roman" w:hAnsi="Times New Roman"/>
          <w:color w:val="0D0D0D" w:themeColor="text1" w:themeTint="F2"/>
          <w:sz w:val="24"/>
          <w:szCs w:val="24"/>
        </w:rPr>
        <w:t xml:space="preserve">Agung Nomor 2239 K/PID.SUS/2012 Tahun 2012. Pendekatan ini bertujuan untuk </w:t>
      </w:r>
      <w:r w:rsidR="00C80F9E">
        <w:rPr>
          <w:rFonts w:ascii="Times New Roman" w:hAnsi="Times New Roman"/>
          <w:color w:val="0D0D0D" w:themeColor="text1" w:themeTint="F2"/>
          <w:sz w:val="24"/>
          <w:szCs w:val="24"/>
        </w:rPr>
        <w:t>m</w:t>
      </w:r>
      <w:r w:rsidRPr="00C80F9E">
        <w:rPr>
          <w:rFonts w:ascii="Times New Roman" w:hAnsi="Times New Roman"/>
          <w:color w:val="0D0D0D" w:themeColor="text1" w:themeTint="F2"/>
          <w:sz w:val="24"/>
          <w:szCs w:val="24"/>
        </w:rPr>
        <w:t xml:space="preserve">enemukan nilai keadilan dan solusi terbaik </w:t>
      </w:r>
      <w:r w:rsidR="00C80F9E">
        <w:rPr>
          <w:rFonts w:ascii="Times New Roman" w:hAnsi="Times New Roman"/>
          <w:color w:val="0D0D0D" w:themeColor="text1" w:themeTint="F2"/>
          <w:sz w:val="24"/>
          <w:szCs w:val="24"/>
        </w:rPr>
        <w:t>a</w:t>
      </w:r>
      <w:r w:rsidRPr="00C80F9E">
        <w:rPr>
          <w:rFonts w:ascii="Times New Roman" w:hAnsi="Times New Roman"/>
          <w:color w:val="0D0D0D" w:themeColor="text1" w:themeTint="F2"/>
          <w:sz w:val="24"/>
          <w:szCs w:val="24"/>
        </w:rPr>
        <w:t xml:space="preserve">tas peristiwa hukum yang terjadi, serta </w:t>
      </w:r>
      <w:r w:rsidR="00C80F9E">
        <w:rPr>
          <w:rFonts w:ascii="Times New Roman" w:hAnsi="Times New Roman"/>
          <w:color w:val="0D0D0D" w:themeColor="text1" w:themeTint="F2"/>
          <w:sz w:val="24"/>
          <w:szCs w:val="24"/>
        </w:rPr>
        <w:t>m</w:t>
      </w:r>
      <w:r w:rsidRPr="00C80F9E">
        <w:rPr>
          <w:rFonts w:ascii="Times New Roman" w:hAnsi="Times New Roman"/>
          <w:color w:val="0D0D0D" w:themeColor="text1" w:themeTint="F2"/>
          <w:sz w:val="24"/>
          <w:szCs w:val="24"/>
        </w:rPr>
        <w:t xml:space="preserve">emperoleh pemahaman mendalam </w:t>
      </w:r>
      <w:r w:rsidR="00C80F9E">
        <w:rPr>
          <w:rFonts w:ascii="Times New Roman" w:hAnsi="Times New Roman"/>
          <w:color w:val="0D0D0D" w:themeColor="text1" w:themeTint="F2"/>
          <w:sz w:val="24"/>
          <w:szCs w:val="24"/>
        </w:rPr>
        <w:t>t</w:t>
      </w:r>
      <w:r w:rsidRPr="00C80F9E">
        <w:rPr>
          <w:rFonts w:ascii="Times New Roman" w:hAnsi="Times New Roman"/>
          <w:color w:val="0D0D0D" w:themeColor="text1" w:themeTint="F2"/>
          <w:sz w:val="24"/>
          <w:szCs w:val="24"/>
        </w:rPr>
        <w:t>erhadap kasus yang diteliti.</w:t>
      </w:r>
    </w:p>
    <w:p w14:paraId="0C778FFD" w14:textId="77777777" w:rsidR="002D7A8E" w:rsidRDefault="00FA7073" w:rsidP="002D7A8E">
      <w:pPr>
        <w:pStyle w:val="ListParagraph"/>
        <w:numPr>
          <w:ilvl w:val="1"/>
          <w:numId w:val="5"/>
        </w:numPr>
        <w:adjustRightInd w:val="0"/>
        <w:spacing w:after="0" w:line="360" w:lineRule="auto"/>
        <w:jc w:val="both"/>
        <w:rPr>
          <w:rFonts w:ascii="Times New Roman" w:hAnsi="Times New Roman"/>
          <w:color w:val="0D0D0D" w:themeColor="text1" w:themeTint="F2"/>
          <w:sz w:val="24"/>
          <w:szCs w:val="24"/>
        </w:rPr>
      </w:pPr>
      <w:r w:rsidRPr="002D7A8E">
        <w:rPr>
          <w:rFonts w:ascii="Times New Roman" w:hAnsi="Times New Roman"/>
          <w:i/>
          <w:iCs/>
          <w:color w:val="0D0D0D" w:themeColor="text1" w:themeTint="F2"/>
          <w:sz w:val="24"/>
          <w:szCs w:val="24"/>
        </w:rPr>
        <w:t>Statue Approach</w:t>
      </w:r>
      <w:r w:rsidRPr="00C80F9E">
        <w:rPr>
          <w:rFonts w:ascii="Times New Roman" w:hAnsi="Times New Roman"/>
          <w:color w:val="0D0D0D" w:themeColor="text1" w:themeTint="F2"/>
          <w:sz w:val="24"/>
          <w:szCs w:val="24"/>
        </w:rPr>
        <w:t xml:space="preserve"> (Pendekatan Perundang-</w:t>
      </w:r>
      <w:r w:rsidR="002D7A8E">
        <w:rPr>
          <w:rFonts w:ascii="Times New Roman" w:hAnsi="Times New Roman"/>
          <w:color w:val="0D0D0D" w:themeColor="text1" w:themeTint="F2"/>
          <w:sz w:val="24"/>
          <w:szCs w:val="24"/>
        </w:rPr>
        <w:t>u</w:t>
      </w:r>
      <w:r w:rsidRPr="00C80F9E">
        <w:rPr>
          <w:rFonts w:ascii="Times New Roman" w:hAnsi="Times New Roman"/>
          <w:color w:val="0D0D0D" w:themeColor="text1" w:themeTint="F2"/>
          <w:sz w:val="24"/>
          <w:szCs w:val="24"/>
        </w:rPr>
        <w:t>ndangan)</w:t>
      </w:r>
    </w:p>
    <w:p w14:paraId="180C46C8" w14:textId="1754B3E2" w:rsidR="00FA7073" w:rsidRPr="002C60B2" w:rsidRDefault="00FA7073" w:rsidP="002C60B2">
      <w:pPr>
        <w:pStyle w:val="ListParagraph"/>
        <w:adjustRightInd w:val="0"/>
        <w:spacing w:after="0" w:line="360" w:lineRule="auto"/>
        <w:ind w:left="1440"/>
        <w:jc w:val="both"/>
        <w:rPr>
          <w:rFonts w:ascii="Times New Roman" w:hAnsi="Times New Roman"/>
          <w:color w:val="0D0D0D" w:themeColor="text1" w:themeTint="F2"/>
          <w:sz w:val="24"/>
          <w:szCs w:val="24"/>
        </w:rPr>
      </w:pPr>
      <w:r w:rsidRPr="002D7A8E">
        <w:rPr>
          <w:rFonts w:ascii="Times New Roman" w:hAnsi="Times New Roman"/>
          <w:color w:val="0D0D0D" w:themeColor="text1" w:themeTint="F2"/>
          <w:sz w:val="24"/>
          <w:szCs w:val="24"/>
        </w:rPr>
        <w:t xml:space="preserve">Pendekatan ini dilakukan dengan menelaah </w:t>
      </w:r>
      <w:r w:rsidR="002D7A8E">
        <w:rPr>
          <w:rFonts w:ascii="Times New Roman" w:hAnsi="Times New Roman"/>
          <w:color w:val="0D0D0D" w:themeColor="text1" w:themeTint="F2"/>
          <w:sz w:val="24"/>
          <w:szCs w:val="24"/>
        </w:rPr>
        <w:t>s</w:t>
      </w:r>
      <w:r w:rsidRPr="002D7A8E">
        <w:rPr>
          <w:rFonts w:ascii="Times New Roman" w:hAnsi="Times New Roman"/>
          <w:color w:val="0D0D0D" w:themeColor="text1" w:themeTint="F2"/>
          <w:sz w:val="24"/>
          <w:szCs w:val="24"/>
        </w:rPr>
        <w:t xml:space="preserve">ecara komprehensif seluruh peraturan </w:t>
      </w:r>
      <w:r w:rsidR="002C60B2">
        <w:rPr>
          <w:rFonts w:ascii="Times New Roman" w:hAnsi="Times New Roman"/>
          <w:color w:val="0D0D0D" w:themeColor="text1" w:themeTint="F2"/>
          <w:sz w:val="24"/>
          <w:szCs w:val="24"/>
        </w:rPr>
        <w:t>p</w:t>
      </w:r>
      <w:r w:rsidRPr="002C60B2">
        <w:rPr>
          <w:rFonts w:ascii="Times New Roman" w:hAnsi="Times New Roman"/>
          <w:color w:val="0D0D0D" w:themeColor="text1" w:themeTint="F2"/>
          <w:sz w:val="24"/>
          <w:szCs w:val="24"/>
        </w:rPr>
        <w:t xml:space="preserve">erundang-undangan yang relevan dengan </w:t>
      </w:r>
      <w:r w:rsidR="002C60B2">
        <w:rPr>
          <w:rFonts w:ascii="Times New Roman" w:hAnsi="Times New Roman"/>
          <w:color w:val="0D0D0D" w:themeColor="text1" w:themeTint="F2"/>
          <w:sz w:val="24"/>
          <w:szCs w:val="24"/>
        </w:rPr>
        <w:t>i</w:t>
      </w:r>
      <w:r w:rsidRPr="002C60B2">
        <w:rPr>
          <w:rFonts w:ascii="Times New Roman" w:hAnsi="Times New Roman"/>
          <w:color w:val="0D0D0D" w:themeColor="text1" w:themeTint="F2"/>
          <w:sz w:val="24"/>
          <w:szCs w:val="24"/>
        </w:rPr>
        <w:t xml:space="preserve">su penelitian. Pendekatan ini </w:t>
      </w:r>
      <w:r w:rsidR="002C60B2">
        <w:rPr>
          <w:rFonts w:ascii="Times New Roman" w:hAnsi="Times New Roman"/>
          <w:color w:val="0D0D0D" w:themeColor="text1" w:themeTint="F2"/>
          <w:sz w:val="24"/>
          <w:szCs w:val="24"/>
        </w:rPr>
        <w:t>m</w:t>
      </w:r>
      <w:r w:rsidRPr="002C60B2">
        <w:rPr>
          <w:rFonts w:ascii="Times New Roman" w:hAnsi="Times New Roman"/>
          <w:color w:val="0D0D0D" w:themeColor="text1" w:themeTint="F2"/>
          <w:sz w:val="24"/>
          <w:szCs w:val="24"/>
        </w:rPr>
        <w:t xml:space="preserve">emungkinkan peneliti untuk </w:t>
      </w:r>
      <w:r w:rsidR="002C60B2">
        <w:rPr>
          <w:rFonts w:ascii="Times New Roman" w:hAnsi="Times New Roman"/>
          <w:color w:val="0D0D0D" w:themeColor="text1" w:themeTint="F2"/>
          <w:sz w:val="24"/>
          <w:szCs w:val="24"/>
        </w:rPr>
        <w:t>m</w:t>
      </w:r>
      <w:r w:rsidRPr="002C60B2">
        <w:rPr>
          <w:rFonts w:ascii="Times New Roman" w:hAnsi="Times New Roman"/>
          <w:color w:val="0D0D0D" w:themeColor="text1" w:themeTint="F2"/>
          <w:sz w:val="24"/>
          <w:szCs w:val="24"/>
        </w:rPr>
        <w:t xml:space="preserve">engidentifikasi keterkaitan, konsistensi, </w:t>
      </w:r>
      <w:r w:rsidR="002C60B2">
        <w:rPr>
          <w:rFonts w:ascii="Times New Roman" w:hAnsi="Times New Roman"/>
          <w:color w:val="0D0D0D" w:themeColor="text1" w:themeTint="F2"/>
          <w:sz w:val="24"/>
          <w:szCs w:val="24"/>
        </w:rPr>
        <w:t>m</w:t>
      </w:r>
      <w:r w:rsidRPr="002C60B2">
        <w:rPr>
          <w:rFonts w:ascii="Times New Roman" w:hAnsi="Times New Roman"/>
          <w:color w:val="0D0D0D" w:themeColor="text1" w:themeTint="F2"/>
          <w:sz w:val="24"/>
          <w:szCs w:val="24"/>
        </w:rPr>
        <w:t xml:space="preserve">aupun potensi benturan antara peraturan </w:t>
      </w:r>
      <w:r w:rsidR="002C60B2">
        <w:rPr>
          <w:rFonts w:ascii="Times New Roman" w:hAnsi="Times New Roman"/>
          <w:color w:val="0D0D0D" w:themeColor="text1" w:themeTint="F2"/>
          <w:sz w:val="24"/>
          <w:szCs w:val="24"/>
        </w:rPr>
        <w:t>y</w:t>
      </w:r>
      <w:r w:rsidRPr="002C60B2">
        <w:rPr>
          <w:rFonts w:ascii="Times New Roman" w:hAnsi="Times New Roman"/>
          <w:color w:val="0D0D0D" w:themeColor="text1" w:themeTint="F2"/>
          <w:sz w:val="24"/>
          <w:szCs w:val="24"/>
        </w:rPr>
        <w:t xml:space="preserve">ang berlaku dengan isu hukum yang </w:t>
      </w:r>
      <w:r w:rsidR="002C60B2">
        <w:rPr>
          <w:rFonts w:ascii="Times New Roman" w:hAnsi="Times New Roman"/>
          <w:color w:val="0D0D0D" w:themeColor="text1" w:themeTint="F2"/>
          <w:sz w:val="24"/>
          <w:szCs w:val="24"/>
        </w:rPr>
        <w:t>d</w:t>
      </w:r>
      <w:r w:rsidRPr="002C60B2">
        <w:rPr>
          <w:rFonts w:ascii="Times New Roman" w:hAnsi="Times New Roman"/>
          <w:color w:val="0D0D0D" w:themeColor="text1" w:themeTint="F2"/>
          <w:sz w:val="24"/>
          <w:szCs w:val="24"/>
        </w:rPr>
        <w:t>iteliti.</w:t>
      </w:r>
    </w:p>
    <w:p w14:paraId="73A3C3F8" w14:textId="5818F7F4" w:rsidR="00AB731E" w:rsidRDefault="006A3518" w:rsidP="002E76DE">
      <w:pPr>
        <w:pStyle w:val="ListParagraph"/>
        <w:numPr>
          <w:ilvl w:val="0"/>
          <w:numId w:val="5"/>
        </w:numPr>
        <w:adjustRightInd w:val="0"/>
        <w:spacing w:after="0" w:line="360" w:lineRule="auto"/>
        <w:jc w:val="both"/>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Sumber dan Teknik Pengumpulan Data</w:t>
      </w:r>
    </w:p>
    <w:p w14:paraId="38FA82BD" w14:textId="0E15EDC1" w:rsidR="00B63ED5" w:rsidRDefault="00C5152E" w:rsidP="00B63ED5">
      <w:pPr>
        <w:pStyle w:val="ListParagraph"/>
        <w:adjustRightInd w:val="0"/>
        <w:spacing w:after="0"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Data yang digunakan dalam penelitian yuridis n</w:t>
      </w:r>
      <w:r w:rsidRPr="00C5152E">
        <w:rPr>
          <w:rFonts w:ascii="Times New Roman" w:hAnsi="Times New Roman"/>
          <w:color w:val="0D0D0D" w:themeColor="text1" w:themeTint="F2"/>
          <w:sz w:val="24"/>
          <w:szCs w:val="24"/>
        </w:rPr>
        <w:t xml:space="preserve">ormatif umumnya terdiri dari tiga jenis: Bahan </w:t>
      </w:r>
      <w:r>
        <w:rPr>
          <w:rFonts w:ascii="Times New Roman" w:hAnsi="Times New Roman"/>
          <w:color w:val="0D0D0D" w:themeColor="text1" w:themeTint="F2"/>
          <w:sz w:val="24"/>
          <w:szCs w:val="24"/>
        </w:rPr>
        <w:t>h</w:t>
      </w:r>
      <w:r w:rsidRPr="00C5152E">
        <w:rPr>
          <w:rFonts w:ascii="Times New Roman" w:hAnsi="Times New Roman"/>
          <w:color w:val="0D0D0D" w:themeColor="text1" w:themeTint="F2"/>
          <w:sz w:val="24"/>
          <w:szCs w:val="24"/>
        </w:rPr>
        <w:t xml:space="preserve">ukum primer, bahan hukum sekunder, dan bahan </w:t>
      </w:r>
      <w:r>
        <w:rPr>
          <w:rFonts w:ascii="Times New Roman" w:hAnsi="Times New Roman"/>
          <w:color w:val="0D0D0D" w:themeColor="text1" w:themeTint="F2"/>
          <w:sz w:val="24"/>
          <w:szCs w:val="24"/>
        </w:rPr>
        <w:t>h</w:t>
      </w:r>
      <w:r w:rsidRPr="00C5152E">
        <w:rPr>
          <w:rFonts w:ascii="Times New Roman" w:hAnsi="Times New Roman"/>
          <w:color w:val="0D0D0D" w:themeColor="text1" w:themeTint="F2"/>
          <w:sz w:val="24"/>
          <w:szCs w:val="24"/>
        </w:rPr>
        <w:t>ukum tersier.</w:t>
      </w:r>
      <w:r w:rsidR="00AD41B8">
        <w:rPr>
          <w:rStyle w:val="FootnoteReference"/>
          <w:rFonts w:ascii="Times New Roman" w:hAnsi="Times New Roman"/>
          <w:color w:val="0D0D0D" w:themeColor="text1" w:themeTint="F2"/>
          <w:sz w:val="24"/>
          <w:szCs w:val="24"/>
        </w:rPr>
        <w:footnoteReference w:id="8"/>
      </w:r>
    </w:p>
    <w:p w14:paraId="26421942" w14:textId="77777777" w:rsidR="00AD27F1" w:rsidRDefault="00B63ED5" w:rsidP="00AD27F1">
      <w:pPr>
        <w:pStyle w:val="ListParagraph"/>
        <w:numPr>
          <w:ilvl w:val="1"/>
          <w:numId w:val="5"/>
        </w:numPr>
        <w:adjustRightInd w:val="0"/>
        <w:spacing w:after="0" w:line="360" w:lineRule="auto"/>
        <w:jc w:val="both"/>
        <w:rPr>
          <w:rFonts w:ascii="Times New Roman" w:hAnsi="Times New Roman"/>
          <w:color w:val="0D0D0D" w:themeColor="text1" w:themeTint="F2"/>
          <w:sz w:val="24"/>
          <w:szCs w:val="24"/>
        </w:rPr>
      </w:pPr>
      <w:r w:rsidRPr="00B63ED5">
        <w:rPr>
          <w:rFonts w:ascii="Times New Roman" w:hAnsi="Times New Roman"/>
          <w:color w:val="0D0D0D" w:themeColor="text1" w:themeTint="F2"/>
          <w:sz w:val="24"/>
          <w:szCs w:val="24"/>
        </w:rPr>
        <w:t>Bahan hukum Primer</w:t>
      </w:r>
    </w:p>
    <w:p w14:paraId="5EDE943A" w14:textId="77777777" w:rsidR="001A4A7B" w:rsidRDefault="00B63ED5" w:rsidP="001A4A7B">
      <w:pPr>
        <w:pStyle w:val="ListParagraph"/>
        <w:adjustRightInd w:val="0"/>
        <w:spacing w:after="0" w:line="360" w:lineRule="auto"/>
        <w:ind w:left="1440"/>
        <w:jc w:val="both"/>
        <w:rPr>
          <w:rFonts w:ascii="Times New Roman" w:hAnsi="Times New Roman"/>
          <w:color w:val="0D0D0D" w:themeColor="text1" w:themeTint="F2"/>
          <w:sz w:val="24"/>
          <w:szCs w:val="24"/>
        </w:rPr>
      </w:pPr>
      <w:r w:rsidRPr="00AD27F1">
        <w:rPr>
          <w:rFonts w:ascii="Times New Roman" w:hAnsi="Times New Roman"/>
          <w:color w:val="0D0D0D" w:themeColor="text1" w:themeTint="F2"/>
          <w:sz w:val="24"/>
          <w:szCs w:val="24"/>
        </w:rPr>
        <w:t xml:space="preserve">Bahan hukum primer adalah bahan-bahan </w:t>
      </w:r>
      <w:r w:rsidR="00AD27F1">
        <w:rPr>
          <w:rFonts w:ascii="Times New Roman" w:hAnsi="Times New Roman"/>
          <w:color w:val="0D0D0D" w:themeColor="text1" w:themeTint="F2"/>
          <w:sz w:val="24"/>
          <w:szCs w:val="24"/>
        </w:rPr>
        <w:t>h</w:t>
      </w:r>
      <w:r w:rsidRPr="00AD27F1">
        <w:rPr>
          <w:rFonts w:ascii="Times New Roman" w:hAnsi="Times New Roman"/>
          <w:color w:val="0D0D0D" w:themeColor="text1" w:themeTint="F2"/>
          <w:sz w:val="24"/>
          <w:szCs w:val="24"/>
        </w:rPr>
        <w:t xml:space="preserve">ukum yang mempunyai kekuatan mengikat </w:t>
      </w:r>
      <w:r w:rsidR="00AD27F1">
        <w:rPr>
          <w:rFonts w:ascii="Times New Roman" w:hAnsi="Times New Roman"/>
          <w:color w:val="0D0D0D" w:themeColor="text1" w:themeTint="F2"/>
          <w:sz w:val="24"/>
          <w:szCs w:val="24"/>
        </w:rPr>
        <w:t>s</w:t>
      </w:r>
      <w:r w:rsidRPr="00AD27F1">
        <w:rPr>
          <w:rFonts w:ascii="Times New Roman" w:hAnsi="Times New Roman"/>
          <w:color w:val="0D0D0D" w:themeColor="text1" w:themeTint="F2"/>
          <w:sz w:val="24"/>
          <w:szCs w:val="24"/>
        </w:rPr>
        <w:t xml:space="preserve">ecara yuridis. Dalam penelitian ini bahan </w:t>
      </w:r>
      <w:r w:rsidR="00AD27F1">
        <w:rPr>
          <w:rFonts w:ascii="Times New Roman" w:hAnsi="Times New Roman"/>
          <w:color w:val="0D0D0D" w:themeColor="text1" w:themeTint="F2"/>
          <w:sz w:val="24"/>
          <w:szCs w:val="24"/>
        </w:rPr>
        <w:t>h</w:t>
      </w:r>
      <w:r w:rsidRPr="00AD27F1">
        <w:rPr>
          <w:rFonts w:ascii="Times New Roman" w:hAnsi="Times New Roman"/>
          <w:color w:val="0D0D0D" w:themeColor="text1" w:themeTint="F2"/>
          <w:sz w:val="24"/>
          <w:szCs w:val="24"/>
        </w:rPr>
        <w:t xml:space="preserve">ukum utama berasal dari </w:t>
      </w:r>
      <w:r w:rsidRPr="00AD27F1">
        <w:rPr>
          <w:rFonts w:ascii="Times New Roman" w:hAnsi="Times New Roman"/>
          <w:color w:val="0D0D0D" w:themeColor="text1" w:themeTint="F2"/>
          <w:sz w:val="24"/>
          <w:szCs w:val="24"/>
        </w:rPr>
        <w:lastRenderedPageBreak/>
        <w:t xml:space="preserve">putusan </w:t>
      </w:r>
      <w:r w:rsidR="00AD27F1">
        <w:rPr>
          <w:rFonts w:ascii="Times New Roman" w:hAnsi="Times New Roman"/>
          <w:color w:val="0D0D0D" w:themeColor="text1" w:themeTint="F2"/>
          <w:sz w:val="24"/>
          <w:szCs w:val="24"/>
        </w:rPr>
        <w:t>p</w:t>
      </w:r>
      <w:r w:rsidRPr="00AD27F1">
        <w:rPr>
          <w:rFonts w:ascii="Times New Roman" w:hAnsi="Times New Roman"/>
          <w:color w:val="0D0D0D" w:themeColor="text1" w:themeTint="F2"/>
          <w:sz w:val="24"/>
          <w:szCs w:val="24"/>
        </w:rPr>
        <w:t xml:space="preserve">engadilan, yaitu Putusan Mahkamah Agung Nomor 2239 K/PID.SUS/2012 Tahun 2012. Putusan ini menjadi bahan </w:t>
      </w:r>
      <w:r w:rsidR="001A4A7B">
        <w:rPr>
          <w:rFonts w:ascii="Times New Roman" w:hAnsi="Times New Roman"/>
          <w:color w:val="0D0D0D" w:themeColor="text1" w:themeTint="F2"/>
          <w:sz w:val="24"/>
          <w:szCs w:val="24"/>
        </w:rPr>
        <w:t>h</w:t>
      </w:r>
      <w:r w:rsidRPr="001A4A7B">
        <w:rPr>
          <w:rFonts w:ascii="Times New Roman" w:hAnsi="Times New Roman"/>
          <w:color w:val="0D0D0D" w:themeColor="text1" w:themeTint="F2"/>
          <w:sz w:val="24"/>
          <w:szCs w:val="24"/>
        </w:rPr>
        <w:t xml:space="preserve">ukum primer karena bersifat otoritatif dan </w:t>
      </w:r>
      <w:r w:rsidR="001A4A7B">
        <w:rPr>
          <w:rFonts w:ascii="Times New Roman" w:hAnsi="Times New Roman"/>
          <w:color w:val="0D0D0D" w:themeColor="text1" w:themeTint="F2"/>
          <w:sz w:val="24"/>
          <w:szCs w:val="24"/>
        </w:rPr>
        <w:t>m</w:t>
      </w:r>
      <w:r w:rsidRPr="001A4A7B">
        <w:rPr>
          <w:rFonts w:ascii="Times New Roman" w:hAnsi="Times New Roman"/>
          <w:color w:val="0D0D0D" w:themeColor="text1" w:themeTint="F2"/>
          <w:sz w:val="24"/>
          <w:szCs w:val="24"/>
        </w:rPr>
        <w:t xml:space="preserve">erupakan hasil dari proses peradilan yang </w:t>
      </w:r>
      <w:r w:rsidR="001A4A7B">
        <w:rPr>
          <w:rFonts w:ascii="Times New Roman" w:hAnsi="Times New Roman"/>
          <w:color w:val="0D0D0D" w:themeColor="text1" w:themeTint="F2"/>
          <w:sz w:val="24"/>
          <w:szCs w:val="24"/>
        </w:rPr>
        <w:t>s</w:t>
      </w:r>
      <w:r w:rsidRPr="001A4A7B">
        <w:rPr>
          <w:rFonts w:ascii="Times New Roman" w:hAnsi="Times New Roman"/>
          <w:color w:val="0D0D0D" w:themeColor="text1" w:themeTint="F2"/>
          <w:sz w:val="24"/>
          <w:szCs w:val="24"/>
        </w:rPr>
        <w:t>ah.</w:t>
      </w:r>
    </w:p>
    <w:p w14:paraId="67F7F847" w14:textId="77777777" w:rsidR="001A4A7B" w:rsidRDefault="00B63ED5" w:rsidP="001A4A7B">
      <w:pPr>
        <w:pStyle w:val="ListParagraph"/>
        <w:numPr>
          <w:ilvl w:val="1"/>
          <w:numId w:val="5"/>
        </w:numPr>
        <w:adjustRightInd w:val="0"/>
        <w:spacing w:after="0" w:line="360" w:lineRule="auto"/>
        <w:jc w:val="both"/>
        <w:rPr>
          <w:rFonts w:ascii="Times New Roman" w:hAnsi="Times New Roman"/>
          <w:color w:val="0D0D0D" w:themeColor="text1" w:themeTint="F2"/>
          <w:sz w:val="24"/>
          <w:szCs w:val="24"/>
        </w:rPr>
      </w:pPr>
      <w:r w:rsidRPr="001A4A7B">
        <w:rPr>
          <w:rFonts w:ascii="Times New Roman" w:hAnsi="Times New Roman"/>
          <w:color w:val="0D0D0D" w:themeColor="text1" w:themeTint="F2"/>
          <w:sz w:val="24"/>
          <w:szCs w:val="24"/>
        </w:rPr>
        <w:t>Bahan hukum Sekunder</w:t>
      </w:r>
    </w:p>
    <w:p w14:paraId="16732543" w14:textId="77777777" w:rsidR="00FD14E5" w:rsidRDefault="00B63ED5" w:rsidP="00FD14E5">
      <w:pPr>
        <w:pStyle w:val="ListParagraph"/>
        <w:adjustRightInd w:val="0"/>
        <w:spacing w:after="0" w:line="360" w:lineRule="auto"/>
        <w:ind w:left="1440"/>
        <w:jc w:val="both"/>
        <w:rPr>
          <w:rFonts w:ascii="Times New Roman" w:hAnsi="Times New Roman"/>
          <w:color w:val="0D0D0D" w:themeColor="text1" w:themeTint="F2"/>
          <w:sz w:val="24"/>
          <w:szCs w:val="24"/>
        </w:rPr>
      </w:pPr>
      <w:r w:rsidRPr="001A4A7B">
        <w:rPr>
          <w:rFonts w:ascii="Times New Roman" w:hAnsi="Times New Roman"/>
          <w:color w:val="0D0D0D" w:themeColor="text1" w:themeTint="F2"/>
          <w:sz w:val="24"/>
          <w:szCs w:val="24"/>
        </w:rPr>
        <w:t xml:space="preserve">Bahan hukum sekunder berupa peraturan </w:t>
      </w:r>
      <w:r w:rsidR="001A4A7B">
        <w:rPr>
          <w:rFonts w:ascii="Times New Roman" w:hAnsi="Times New Roman"/>
          <w:color w:val="0D0D0D" w:themeColor="text1" w:themeTint="F2"/>
          <w:sz w:val="24"/>
          <w:szCs w:val="24"/>
        </w:rPr>
        <w:t>p</w:t>
      </w:r>
      <w:r w:rsidRPr="001A4A7B">
        <w:rPr>
          <w:rFonts w:ascii="Times New Roman" w:hAnsi="Times New Roman"/>
          <w:color w:val="0D0D0D" w:themeColor="text1" w:themeTint="F2"/>
          <w:sz w:val="24"/>
          <w:szCs w:val="24"/>
        </w:rPr>
        <w:t xml:space="preserve">erundang-undangan yang relevan, </w:t>
      </w:r>
      <w:r w:rsidR="001A4A7B">
        <w:rPr>
          <w:rFonts w:ascii="Times New Roman" w:hAnsi="Times New Roman"/>
          <w:color w:val="0D0D0D" w:themeColor="text1" w:themeTint="F2"/>
          <w:sz w:val="24"/>
          <w:szCs w:val="24"/>
        </w:rPr>
        <w:t>k</w:t>
      </w:r>
      <w:r w:rsidRPr="001A4A7B">
        <w:rPr>
          <w:rFonts w:ascii="Times New Roman" w:hAnsi="Times New Roman"/>
          <w:color w:val="0D0D0D" w:themeColor="text1" w:themeTint="F2"/>
          <w:sz w:val="24"/>
          <w:szCs w:val="24"/>
        </w:rPr>
        <w:t xml:space="preserve">hususnya Undang-Undang Nomor 7 Tahun </w:t>
      </w:r>
      <w:r w:rsidRPr="0045284A">
        <w:rPr>
          <w:rFonts w:ascii="Times New Roman" w:hAnsi="Times New Roman"/>
          <w:color w:val="0D0D0D" w:themeColor="text1" w:themeTint="F2"/>
          <w:sz w:val="24"/>
          <w:szCs w:val="24"/>
        </w:rPr>
        <w:t>2021 tentang Harmonisasi Peraturan Perpajakan, serta dokumen resmi lain, buku-</w:t>
      </w:r>
      <w:r w:rsidR="0045284A">
        <w:rPr>
          <w:rFonts w:ascii="Times New Roman" w:hAnsi="Times New Roman"/>
          <w:color w:val="0D0D0D" w:themeColor="text1" w:themeTint="F2"/>
          <w:sz w:val="24"/>
          <w:szCs w:val="24"/>
        </w:rPr>
        <w:t>b</w:t>
      </w:r>
      <w:r w:rsidRPr="0045284A">
        <w:rPr>
          <w:rFonts w:ascii="Times New Roman" w:hAnsi="Times New Roman"/>
          <w:color w:val="0D0D0D" w:themeColor="text1" w:themeTint="F2"/>
          <w:sz w:val="24"/>
          <w:szCs w:val="24"/>
        </w:rPr>
        <w:t xml:space="preserve">uku hukum, dan hasil penelitian </w:t>
      </w:r>
      <w:r w:rsidR="0045284A">
        <w:rPr>
          <w:rFonts w:ascii="Times New Roman" w:hAnsi="Times New Roman"/>
          <w:color w:val="0D0D0D" w:themeColor="text1" w:themeTint="F2"/>
          <w:sz w:val="24"/>
          <w:szCs w:val="24"/>
        </w:rPr>
        <w:t>s</w:t>
      </w:r>
      <w:r w:rsidRPr="0045284A">
        <w:rPr>
          <w:rFonts w:ascii="Times New Roman" w:hAnsi="Times New Roman"/>
          <w:color w:val="0D0D0D" w:themeColor="text1" w:themeTint="F2"/>
          <w:sz w:val="24"/>
          <w:szCs w:val="24"/>
        </w:rPr>
        <w:t xml:space="preserve">ebelumnya yang mendukung analisis </w:t>
      </w:r>
      <w:r w:rsidR="0045284A">
        <w:rPr>
          <w:rFonts w:ascii="Times New Roman" w:hAnsi="Times New Roman"/>
          <w:color w:val="0D0D0D" w:themeColor="text1" w:themeTint="F2"/>
          <w:sz w:val="24"/>
          <w:szCs w:val="24"/>
        </w:rPr>
        <w:t>t</w:t>
      </w:r>
      <w:r w:rsidRPr="0045284A">
        <w:rPr>
          <w:rFonts w:ascii="Times New Roman" w:hAnsi="Times New Roman"/>
          <w:color w:val="0D0D0D" w:themeColor="text1" w:themeTint="F2"/>
          <w:sz w:val="24"/>
          <w:szCs w:val="24"/>
        </w:rPr>
        <w:t>erhadap kasus penggelapan pajak.</w:t>
      </w:r>
    </w:p>
    <w:p w14:paraId="66ED5BEB" w14:textId="77777777" w:rsidR="00FD14E5" w:rsidRDefault="00FD14E5" w:rsidP="00FD14E5">
      <w:pPr>
        <w:pStyle w:val="ListParagraph"/>
        <w:numPr>
          <w:ilvl w:val="1"/>
          <w:numId w:val="5"/>
        </w:numPr>
        <w:adjustRightInd w:val="0"/>
        <w:spacing w:after="0"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r w:rsidR="00B63ED5" w:rsidRPr="00FD14E5">
        <w:rPr>
          <w:rFonts w:ascii="Times New Roman" w:hAnsi="Times New Roman"/>
          <w:color w:val="0D0D0D" w:themeColor="text1" w:themeTint="F2"/>
          <w:sz w:val="24"/>
          <w:szCs w:val="24"/>
        </w:rPr>
        <w:t>Bahan hukum Tersier</w:t>
      </w:r>
    </w:p>
    <w:p w14:paraId="30959B9D" w14:textId="50929E7C" w:rsidR="00B63ED5" w:rsidRDefault="00B63ED5" w:rsidP="00FD14E5">
      <w:pPr>
        <w:pStyle w:val="ListParagraph"/>
        <w:adjustRightInd w:val="0"/>
        <w:spacing w:after="0" w:line="360" w:lineRule="auto"/>
        <w:ind w:left="1440"/>
        <w:jc w:val="both"/>
        <w:rPr>
          <w:rFonts w:ascii="Times New Roman" w:hAnsi="Times New Roman"/>
          <w:color w:val="0D0D0D" w:themeColor="text1" w:themeTint="F2"/>
          <w:sz w:val="24"/>
          <w:szCs w:val="24"/>
        </w:rPr>
      </w:pPr>
      <w:r w:rsidRPr="00FD14E5">
        <w:rPr>
          <w:rFonts w:ascii="Times New Roman" w:hAnsi="Times New Roman"/>
          <w:color w:val="0D0D0D" w:themeColor="text1" w:themeTint="F2"/>
          <w:sz w:val="24"/>
          <w:szCs w:val="24"/>
        </w:rPr>
        <w:t>Bahan hukum tersier diperoleh dari sumber-</w:t>
      </w:r>
      <w:r w:rsidR="00FD14E5">
        <w:rPr>
          <w:rFonts w:ascii="Times New Roman" w:hAnsi="Times New Roman"/>
          <w:color w:val="0D0D0D" w:themeColor="text1" w:themeTint="F2"/>
          <w:sz w:val="24"/>
          <w:szCs w:val="24"/>
        </w:rPr>
        <w:t>s</w:t>
      </w:r>
      <w:r w:rsidRPr="00FD14E5">
        <w:rPr>
          <w:rFonts w:ascii="Times New Roman" w:hAnsi="Times New Roman"/>
          <w:color w:val="0D0D0D" w:themeColor="text1" w:themeTint="F2"/>
          <w:sz w:val="24"/>
          <w:szCs w:val="24"/>
        </w:rPr>
        <w:t xml:space="preserve">umber pendukung seperti kamus hukum, </w:t>
      </w:r>
      <w:r w:rsidR="00FD14E5">
        <w:rPr>
          <w:rFonts w:ascii="Times New Roman" w:hAnsi="Times New Roman"/>
          <w:color w:val="0D0D0D" w:themeColor="text1" w:themeTint="F2"/>
          <w:sz w:val="24"/>
          <w:szCs w:val="24"/>
        </w:rPr>
        <w:t>e</w:t>
      </w:r>
      <w:r w:rsidRPr="00FD14E5">
        <w:rPr>
          <w:rFonts w:ascii="Times New Roman" w:hAnsi="Times New Roman"/>
          <w:color w:val="0D0D0D" w:themeColor="text1" w:themeTint="F2"/>
          <w:sz w:val="24"/>
          <w:szCs w:val="24"/>
        </w:rPr>
        <w:t xml:space="preserve">nsiklopedia, artikel ilmiah, makalah, dan </w:t>
      </w:r>
      <w:r w:rsidR="00FD14E5">
        <w:rPr>
          <w:rFonts w:ascii="Times New Roman" w:hAnsi="Times New Roman"/>
          <w:color w:val="0D0D0D" w:themeColor="text1" w:themeTint="F2"/>
          <w:sz w:val="24"/>
          <w:szCs w:val="24"/>
        </w:rPr>
        <w:t>l</w:t>
      </w:r>
      <w:r w:rsidRPr="00FD14E5">
        <w:rPr>
          <w:rFonts w:ascii="Times New Roman" w:hAnsi="Times New Roman"/>
          <w:color w:val="0D0D0D" w:themeColor="text1" w:themeTint="F2"/>
          <w:sz w:val="24"/>
          <w:szCs w:val="24"/>
        </w:rPr>
        <w:t xml:space="preserve">iteratur lain yang memberikan penjelasan </w:t>
      </w:r>
      <w:r w:rsidR="00FD14E5">
        <w:rPr>
          <w:rFonts w:ascii="Times New Roman" w:hAnsi="Times New Roman"/>
          <w:color w:val="0D0D0D" w:themeColor="text1" w:themeTint="F2"/>
          <w:sz w:val="24"/>
          <w:szCs w:val="24"/>
        </w:rPr>
        <w:t>a</w:t>
      </w:r>
      <w:r w:rsidRPr="00FD14E5">
        <w:rPr>
          <w:rFonts w:ascii="Times New Roman" w:hAnsi="Times New Roman"/>
          <w:color w:val="0D0D0D" w:themeColor="text1" w:themeTint="F2"/>
          <w:sz w:val="24"/>
          <w:szCs w:val="24"/>
        </w:rPr>
        <w:t xml:space="preserve">tau petunjuk tambahan terhadap bahan </w:t>
      </w:r>
      <w:r w:rsidR="00FD14E5">
        <w:rPr>
          <w:rFonts w:ascii="Times New Roman" w:hAnsi="Times New Roman"/>
          <w:color w:val="0D0D0D" w:themeColor="text1" w:themeTint="F2"/>
          <w:sz w:val="24"/>
          <w:szCs w:val="24"/>
        </w:rPr>
        <w:t>h</w:t>
      </w:r>
      <w:r w:rsidRPr="00FD14E5">
        <w:rPr>
          <w:rFonts w:ascii="Times New Roman" w:hAnsi="Times New Roman"/>
          <w:color w:val="0D0D0D" w:themeColor="text1" w:themeTint="F2"/>
          <w:sz w:val="24"/>
          <w:szCs w:val="24"/>
        </w:rPr>
        <w:t>ukum primer dan sekunder.</w:t>
      </w:r>
    </w:p>
    <w:p w14:paraId="7F3D8B82" w14:textId="4A84FD77" w:rsidR="00565497" w:rsidRDefault="00565497" w:rsidP="00EF32BC">
      <w:pPr>
        <w:adjustRightInd w:val="0"/>
        <w:spacing w:after="0" w:line="360" w:lineRule="auto"/>
        <w:ind w:left="72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Teknik pengumpulan data dilakukan dengan studi pustaka </w:t>
      </w:r>
      <w:r w:rsidRPr="00E01256">
        <w:rPr>
          <w:rFonts w:ascii="Times New Roman" w:hAnsi="Times New Roman"/>
          <w:i/>
          <w:iCs/>
          <w:color w:val="0D0D0D" w:themeColor="text1" w:themeTint="F2"/>
          <w:sz w:val="24"/>
          <w:szCs w:val="24"/>
        </w:rPr>
        <w:t>(library research)</w:t>
      </w:r>
      <w:r>
        <w:rPr>
          <w:rFonts w:ascii="Times New Roman" w:hAnsi="Times New Roman"/>
          <w:color w:val="0D0D0D" w:themeColor="text1" w:themeTint="F2"/>
          <w:sz w:val="24"/>
          <w:szCs w:val="24"/>
        </w:rPr>
        <w:t xml:space="preserve">, yaitu </w:t>
      </w:r>
      <w:r w:rsidR="00E01256">
        <w:rPr>
          <w:rFonts w:ascii="Times New Roman" w:hAnsi="Times New Roman"/>
          <w:color w:val="0D0D0D" w:themeColor="text1" w:themeTint="F2"/>
          <w:sz w:val="24"/>
          <w:szCs w:val="24"/>
        </w:rPr>
        <w:t>m</w:t>
      </w:r>
      <w:r>
        <w:rPr>
          <w:rFonts w:ascii="Times New Roman" w:hAnsi="Times New Roman"/>
          <w:color w:val="0D0D0D" w:themeColor="text1" w:themeTint="F2"/>
          <w:sz w:val="24"/>
          <w:szCs w:val="24"/>
        </w:rPr>
        <w:t xml:space="preserve">enelaah dan mengkaji berbagai sumber </w:t>
      </w:r>
      <w:r w:rsidR="00E01256">
        <w:rPr>
          <w:rFonts w:ascii="Times New Roman" w:hAnsi="Times New Roman"/>
          <w:color w:val="0D0D0D" w:themeColor="text1" w:themeTint="F2"/>
          <w:sz w:val="24"/>
          <w:szCs w:val="24"/>
        </w:rPr>
        <w:t>t</w:t>
      </w:r>
      <w:r>
        <w:rPr>
          <w:rFonts w:ascii="Times New Roman" w:hAnsi="Times New Roman"/>
          <w:color w:val="0D0D0D" w:themeColor="text1" w:themeTint="F2"/>
          <w:sz w:val="24"/>
          <w:szCs w:val="24"/>
        </w:rPr>
        <w:t xml:space="preserve">ertulis yang berkaitan dengan topik </w:t>
      </w:r>
      <w:r w:rsidR="00E01256">
        <w:rPr>
          <w:rFonts w:ascii="Times New Roman" w:hAnsi="Times New Roman"/>
          <w:color w:val="0D0D0D" w:themeColor="text1" w:themeTint="F2"/>
          <w:sz w:val="24"/>
          <w:szCs w:val="24"/>
        </w:rPr>
        <w:t>p</w:t>
      </w:r>
      <w:r>
        <w:rPr>
          <w:rFonts w:ascii="Times New Roman" w:hAnsi="Times New Roman"/>
          <w:color w:val="0D0D0D" w:themeColor="text1" w:themeTint="F2"/>
          <w:sz w:val="24"/>
          <w:szCs w:val="24"/>
        </w:rPr>
        <w:t xml:space="preserve">enelitian. Proses ini meliputi pengumpulan, </w:t>
      </w:r>
      <w:r w:rsidR="00EF32BC">
        <w:rPr>
          <w:rFonts w:ascii="Times New Roman" w:hAnsi="Times New Roman"/>
          <w:color w:val="0D0D0D" w:themeColor="text1" w:themeTint="F2"/>
          <w:sz w:val="24"/>
          <w:szCs w:val="24"/>
        </w:rPr>
        <w:t>k</w:t>
      </w:r>
      <w:r>
        <w:rPr>
          <w:rFonts w:ascii="Times New Roman" w:hAnsi="Times New Roman"/>
          <w:color w:val="0D0D0D" w:themeColor="text1" w:themeTint="F2"/>
          <w:sz w:val="24"/>
          <w:szCs w:val="24"/>
        </w:rPr>
        <w:t xml:space="preserve">lasifikasi, pembacaan, dan pengutipan </w:t>
      </w:r>
      <w:r w:rsidR="00EF32BC">
        <w:rPr>
          <w:rFonts w:ascii="Times New Roman" w:hAnsi="Times New Roman"/>
          <w:color w:val="0D0D0D" w:themeColor="text1" w:themeTint="F2"/>
          <w:sz w:val="24"/>
          <w:szCs w:val="24"/>
        </w:rPr>
        <w:t>s</w:t>
      </w:r>
      <w:r>
        <w:rPr>
          <w:rFonts w:ascii="Times New Roman" w:hAnsi="Times New Roman"/>
          <w:color w:val="0D0D0D" w:themeColor="text1" w:themeTint="F2"/>
          <w:sz w:val="24"/>
          <w:szCs w:val="24"/>
        </w:rPr>
        <w:t xml:space="preserve">umber-sumber yang relevan untuk </w:t>
      </w:r>
      <w:r w:rsidR="00EF32BC">
        <w:rPr>
          <w:rFonts w:ascii="Times New Roman" w:hAnsi="Times New Roman"/>
          <w:color w:val="0D0D0D" w:themeColor="text1" w:themeTint="F2"/>
          <w:sz w:val="24"/>
          <w:szCs w:val="24"/>
        </w:rPr>
        <w:t>m</w:t>
      </w:r>
      <w:r>
        <w:rPr>
          <w:rFonts w:ascii="Times New Roman" w:hAnsi="Times New Roman"/>
          <w:color w:val="0D0D0D" w:themeColor="text1" w:themeTint="F2"/>
          <w:sz w:val="24"/>
          <w:szCs w:val="24"/>
        </w:rPr>
        <w:t>endukung analisis hukum yang dilakukan</w:t>
      </w:r>
      <w:r w:rsidR="00681BF2">
        <w:rPr>
          <w:rFonts w:ascii="Times New Roman" w:hAnsi="Times New Roman"/>
          <w:color w:val="0D0D0D" w:themeColor="text1" w:themeTint="F2"/>
          <w:sz w:val="24"/>
          <w:szCs w:val="24"/>
        </w:rPr>
        <w:t>.</w:t>
      </w:r>
    </w:p>
    <w:p w14:paraId="054AD07C" w14:textId="77777777" w:rsidR="00D67820" w:rsidRPr="002B08A2" w:rsidRDefault="00D67820" w:rsidP="00EF32BC">
      <w:pPr>
        <w:adjustRightInd w:val="0"/>
        <w:spacing w:after="0" w:line="360" w:lineRule="auto"/>
        <w:ind w:left="720"/>
        <w:jc w:val="both"/>
        <w:rPr>
          <w:rFonts w:ascii="Times New Roman" w:hAnsi="Times New Roman"/>
          <w:color w:val="0D0D0D" w:themeColor="text1" w:themeTint="F2"/>
          <w:sz w:val="24"/>
          <w:szCs w:val="24"/>
        </w:rPr>
      </w:pPr>
    </w:p>
    <w:p w14:paraId="3616E219" w14:textId="348B3BA4" w:rsidR="006A3518" w:rsidRDefault="00101DFF" w:rsidP="002E76DE">
      <w:pPr>
        <w:pStyle w:val="ListParagraph"/>
        <w:numPr>
          <w:ilvl w:val="0"/>
          <w:numId w:val="5"/>
        </w:numPr>
        <w:adjustRightInd w:val="0"/>
        <w:spacing w:after="0" w:line="360" w:lineRule="auto"/>
        <w:jc w:val="both"/>
        <w:rPr>
          <w:rFonts w:ascii="Times New Roman" w:hAnsi="Times New Roman"/>
          <w:b/>
          <w:bCs/>
          <w:color w:val="0D0D0D" w:themeColor="text1" w:themeTint="F2"/>
          <w:sz w:val="24"/>
          <w:szCs w:val="24"/>
        </w:rPr>
      </w:pPr>
      <w:r>
        <w:rPr>
          <w:rFonts w:ascii="Times New Roman" w:hAnsi="Times New Roman"/>
          <w:b/>
          <w:bCs/>
          <w:color w:val="0D0D0D" w:themeColor="text1" w:themeTint="F2"/>
          <w:sz w:val="24"/>
          <w:szCs w:val="24"/>
        </w:rPr>
        <w:t>Teknik Analisis Data</w:t>
      </w:r>
    </w:p>
    <w:p w14:paraId="15A65006" w14:textId="4AB0777E" w:rsidR="00A8100F" w:rsidRDefault="00A8100F" w:rsidP="009D753C">
      <w:pPr>
        <w:pStyle w:val="ListParagraph"/>
        <w:adjustRightInd w:val="0"/>
        <w:spacing w:after="0" w:line="360" w:lineRule="auto"/>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Teknik analisis data yang digunakan adalah a</w:t>
      </w:r>
      <w:r w:rsidRPr="00A8100F">
        <w:rPr>
          <w:rFonts w:ascii="Times New Roman" w:hAnsi="Times New Roman"/>
          <w:color w:val="0D0D0D" w:themeColor="text1" w:themeTint="F2"/>
          <w:sz w:val="24"/>
          <w:szCs w:val="24"/>
        </w:rPr>
        <w:t xml:space="preserve">nalisis deskriptif kualitatif. Data yang telah </w:t>
      </w:r>
      <w:r w:rsidR="00DA036D">
        <w:rPr>
          <w:rFonts w:ascii="Times New Roman" w:hAnsi="Times New Roman"/>
          <w:color w:val="0D0D0D" w:themeColor="text1" w:themeTint="F2"/>
          <w:sz w:val="24"/>
          <w:szCs w:val="24"/>
        </w:rPr>
        <w:t>d</w:t>
      </w:r>
      <w:r w:rsidRPr="00A8100F">
        <w:rPr>
          <w:rFonts w:ascii="Times New Roman" w:hAnsi="Times New Roman"/>
          <w:color w:val="0D0D0D" w:themeColor="text1" w:themeTint="F2"/>
          <w:sz w:val="24"/>
          <w:szCs w:val="24"/>
        </w:rPr>
        <w:t xml:space="preserve">ikumpulkan diolah dan dianalisis secara sistematis </w:t>
      </w:r>
      <w:r w:rsidR="00DA036D">
        <w:rPr>
          <w:rFonts w:ascii="Times New Roman" w:hAnsi="Times New Roman"/>
          <w:color w:val="0D0D0D" w:themeColor="text1" w:themeTint="F2"/>
          <w:sz w:val="24"/>
          <w:szCs w:val="24"/>
        </w:rPr>
        <w:t>d</w:t>
      </w:r>
      <w:r w:rsidRPr="00DA036D">
        <w:rPr>
          <w:rFonts w:ascii="Times New Roman" w:hAnsi="Times New Roman"/>
          <w:color w:val="0D0D0D" w:themeColor="text1" w:themeTint="F2"/>
          <w:sz w:val="24"/>
          <w:szCs w:val="24"/>
        </w:rPr>
        <w:t>engan cara mendeskripsikan, menginterpretasikan,</w:t>
      </w:r>
      <w:r w:rsidR="00DA036D">
        <w:rPr>
          <w:rFonts w:ascii="Times New Roman" w:hAnsi="Times New Roman"/>
          <w:color w:val="0D0D0D" w:themeColor="text1" w:themeTint="F2"/>
          <w:sz w:val="24"/>
          <w:szCs w:val="24"/>
        </w:rPr>
        <w:t xml:space="preserve"> s</w:t>
      </w:r>
      <w:r w:rsidRPr="00DA036D">
        <w:rPr>
          <w:rFonts w:ascii="Times New Roman" w:hAnsi="Times New Roman"/>
          <w:color w:val="0D0D0D" w:themeColor="text1" w:themeTint="F2"/>
          <w:sz w:val="24"/>
          <w:szCs w:val="24"/>
        </w:rPr>
        <w:t xml:space="preserve">erta mengaitkan data satu dengan lainnya secara </w:t>
      </w:r>
      <w:r w:rsidR="00DA036D">
        <w:rPr>
          <w:rFonts w:ascii="Times New Roman" w:hAnsi="Times New Roman"/>
          <w:color w:val="0D0D0D" w:themeColor="text1" w:themeTint="F2"/>
          <w:sz w:val="24"/>
          <w:szCs w:val="24"/>
        </w:rPr>
        <w:t>l</w:t>
      </w:r>
      <w:r w:rsidRPr="00DA036D">
        <w:rPr>
          <w:rFonts w:ascii="Times New Roman" w:hAnsi="Times New Roman"/>
          <w:color w:val="0D0D0D" w:themeColor="text1" w:themeTint="F2"/>
          <w:sz w:val="24"/>
          <w:szCs w:val="24"/>
        </w:rPr>
        <w:t>ogis dan runtut.</w:t>
      </w:r>
      <w:r w:rsidR="005A6B97">
        <w:rPr>
          <w:rStyle w:val="FootnoteReference"/>
          <w:rFonts w:ascii="Times New Roman" w:hAnsi="Times New Roman"/>
          <w:color w:val="0D0D0D" w:themeColor="text1" w:themeTint="F2"/>
          <w:sz w:val="24"/>
          <w:szCs w:val="24"/>
        </w:rPr>
        <w:footnoteReference w:id="9"/>
      </w:r>
      <w:r w:rsidRPr="00DA036D">
        <w:rPr>
          <w:rFonts w:ascii="Times New Roman" w:hAnsi="Times New Roman"/>
          <w:color w:val="0D0D0D" w:themeColor="text1" w:themeTint="F2"/>
          <w:sz w:val="24"/>
          <w:szCs w:val="24"/>
        </w:rPr>
        <w:t xml:space="preserve"> Analisis dilakukan dengan </w:t>
      </w:r>
      <w:r w:rsidR="00DA036D">
        <w:rPr>
          <w:rFonts w:ascii="Times New Roman" w:hAnsi="Times New Roman"/>
          <w:color w:val="0D0D0D" w:themeColor="text1" w:themeTint="F2"/>
          <w:sz w:val="24"/>
          <w:szCs w:val="24"/>
        </w:rPr>
        <w:t>m</w:t>
      </w:r>
      <w:r w:rsidRPr="00DA036D">
        <w:rPr>
          <w:rFonts w:ascii="Times New Roman" w:hAnsi="Times New Roman"/>
          <w:color w:val="0D0D0D" w:themeColor="text1" w:themeTint="F2"/>
          <w:sz w:val="24"/>
          <w:szCs w:val="24"/>
        </w:rPr>
        <w:t xml:space="preserve">enafsirkan ketentuan hukum, mengkaji </w:t>
      </w:r>
      <w:r w:rsidR="009D753C">
        <w:rPr>
          <w:rFonts w:ascii="Times New Roman" w:hAnsi="Times New Roman"/>
          <w:color w:val="0D0D0D" w:themeColor="text1" w:themeTint="F2"/>
          <w:sz w:val="24"/>
          <w:szCs w:val="24"/>
        </w:rPr>
        <w:t>p</w:t>
      </w:r>
      <w:r w:rsidRPr="009D753C">
        <w:rPr>
          <w:rFonts w:ascii="Times New Roman" w:hAnsi="Times New Roman"/>
          <w:color w:val="0D0D0D" w:themeColor="text1" w:themeTint="F2"/>
          <w:sz w:val="24"/>
          <w:szCs w:val="24"/>
        </w:rPr>
        <w:t xml:space="preserve">ertimbangan hakim, serta membandingkan dengan </w:t>
      </w:r>
      <w:r w:rsidR="009D753C">
        <w:rPr>
          <w:rFonts w:ascii="Times New Roman" w:hAnsi="Times New Roman"/>
          <w:color w:val="0D0D0D" w:themeColor="text1" w:themeTint="F2"/>
          <w:sz w:val="24"/>
          <w:szCs w:val="24"/>
        </w:rPr>
        <w:t>d</w:t>
      </w:r>
      <w:r w:rsidRPr="009D753C">
        <w:rPr>
          <w:rFonts w:ascii="Times New Roman" w:hAnsi="Times New Roman"/>
          <w:color w:val="0D0D0D" w:themeColor="text1" w:themeTint="F2"/>
          <w:sz w:val="24"/>
          <w:szCs w:val="24"/>
        </w:rPr>
        <w:t xml:space="preserve">oktrin dan literatur hukum yang relevan. Tujuannya </w:t>
      </w:r>
      <w:r w:rsidR="009D753C">
        <w:rPr>
          <w:rFonts w:ascii="Times New Roman" w:hAnsi="Times New Roman"/>
          <w:color w:val="0D0D0D" w:themeColor="text1" w:themeTint="F2"/>
          <w:sz w:val="24"/>
          <w:szCs w:val="24"/>
        </w:rPr>
        <w:t>a</w:t>
      </w:r>
      <w:r w:rsidRPr="009D753C">
        <w:rPr>
          <w:rFonts w:ascii="Times New Roman" w:hAnsi="Times New Roman"/>
          <w:color w:val="0D0D0D" w:themeColor="text1" w:themeTint="F2"/>
          <w:sz w:val="24"/>
          <w:szCs w:val="24"/>
        </w:rPr>
        <w:t xml:space="preserve">dalah untuk menjawab rumusan masalah dan </w:t>
      </w:r>
      <w:r w:rsidR="009D753C">
        <w:rPr>
          <w:rFonts w:ascii="Times New Roman" w:hAnsi="Times New Roman"/>
          <w:color w:val="0D0D0D" w:themeColor="text1" w:themeTint="F2"/>
          <w:sz w:val="24"/>
          <w:szCs w:val="24"/>
        </w:rPr>
        <w:t>m</w:t>
      </w:r>
      <w:r w:rsidRPr="009D753C">
        <w:rPr>
          <w:rFonts w:ascii="Times New Roman" w:hAnsi="Times New Roman"/>
          <w:color w:val="0D0D0D" w:themeColor="text1" w:themeTint="F2"/>
          <w:sz w:val="24"/>
          <w:szCs w:val="24"/>
        </w:rPr>
        <w:t xml:space="preserve">emberikan gambaran komprehensif mengenai </w:t>
      </w:r>
      <w:r w:rsidR="009D753C">
        <w:rPr>
          <w:rFonts w:ascii="Times New Roman" w:hAnsi="Times New Roman"/>
          <w:color w:val="0D0D0D" w:themeColor="text1" w:themeTint="F2"/>
          <w:sz w:val="24"/>
          <w:szCs w:val="24"/>
        </w:rPr>
        <w:t>a</w:t>
      </w:r>
      <w:r w:rsidRPr="009D753C">
        <w:rPr>
          <w:rFonts w:ascii="Times New Roman" w:hAnsi="Times New Roman"/>
          <w:color w:val="0D0D0D" w:themeColor="text1" w:themeTint="F2"/>
          <w:sz w:val="24"/>
          <w:szCs w:val="24"/>
        </w:rPr>
        <w:t>spek hukum dalam kasus penggelapan pajak PT.</w:t>
      </w:r>
      <w:r w:rsidR="009D753C">
        <w:rPr>
          <w:rFonts w:ascii="Times New Roman" w:hAnsi="Times New Roman"/>
          <w:color w:val="0D0D0D" w:themeColor="text1" w:themeTint="F2"/>
          <w:sz w:val="24"/>
          <w:szCs w:val="24"/>
        </w:rPr>
        <w:t xml:space="preserve"> </w:t>
      </w:r>
      <w:r w:rsidRPr="009D753C">
        <w:rPr>
          <w:rFonts w:ascii="Times New Roman" w:hAnsi="Times New Roman"/>
          <w:color w:val="0D0D0D" w:themeColor="text1" w:themeTint="F2"/>
          <w:sz w:val="24"/>
          <w:szCs w:val="24"/>
        </w:rPr>
        <w:t xml:space="preserve">Asian Agri Group serta implikasinya terhadap sistem </w:t>
      </w:r>
      <w:r w:rsidR="009D753C">
        <w:rPr>
          <w:rFonts w:ascii="Times New Roman" w:hAnsi="Times New Roman"/>
          <w:color w:val="0D0D0D" w:themeColor="text1" w:themeTint="F2"/>
          <w:sz w:val="24"/>
          <w:szCs w:val="24"/>
        </w:rPr>
        <w:t>pe</w:t>
      </w:r>
      <w:r w:rsidRPr="009D753C">
        <w:rPr>
          <w:rFonts w:ascii="Times New Roman" w:hAnsi="Times New Roman"/>
          <w:color w:val="0D0D0D" w:themeColor="text1" w:themeTint="F2"/>
          <w:sz w:val="24"/>
          <w:szCs w:val="24"/>
        </w:rPr>
        <w:t>rpajakan di Indonesia.</w:t>
      </w:r>
    </w:p>
    <w:p w14:paraId="5087E7EC" w14:textId="77777777" w:rsidR="00AD41B8" w:rsidRPr="009D753C" w:rsidRDefault="00AD41B8" w:rsidP="009D753C">
      <w:pPr>
        <w:pStyle w:val="ListParagraph"/>
        <w:adjustRightInd w:val="0"/>
        <w:spacing w:after="0" w:line="360" w:lineRule="auto"/>
        <w:jc w:val="both"/>
        <w:rPr>
          <w:rFonts w:ascii="Times New Roman" w:hAnsi="Times New Roman"/>
          <w:color w:val="0D0D0D" w:themeColor="text1" w:themeTint="F2"/>
          <w:sz w:val="24"/>
          <w:szCs w:val="24"/>
        </w:rPr>
      </w:pPr>
    </w:p>
    <w:p w14:paraId="67C99F80" w14:textId="77777777" w:rsidR="009D011A" w:rsidRPr="009D011A" w:rsidRDefault="009D011A" w:rsidP="00E9077D">
      <w:pPr>
        <w:adjustRightInd w:val="0"/>
        <w:spacing w:after="0" w:line="360" w:lineRule="auto"/>
        <w:jc w:val="both"/>
        <w:rPr>
          <w:rFonts w:ascii="Times New Roman" w:hAnsi="Times New Roman"/>
          <w:color w:val="0D0D0D" w:themeColor="text1" w:themeTint="F2"/>
          <w:sz w:val="24"/>
          <w:szCs w:val="24"/>
        </w:rPr>
      </w:pPr>
    </w:p>
    <w:p w14:paraId="07E28A51" w14:textId="23B8EFA4" w:rsidR="00733C29" w:rsidRDefault="003B2402" w:rsidP="00284F80">
      <w:pPr>
        <w:spacing w:after="0" w:line="360" w:lineRule="auto"/>
        <w:rPr>
          <w:rFonts w:ascii="Times New Roman" w:hAnsi="Times New Roman"/>
          <w:b/>
          <w:color w:val="4F81BD" w:themeColor="accent1"/>
          <w:sz w:val="24"/>
          <w:szCs w:val="24"/>
        </w:rPr>
      </w:pPr>
      <w:r>
        <w:rPr>
          <w:rFonts w:ascii="Times New Roman" w:hAnsi="Times New Roman"/>
          <w:b/>
          <w:sz w:val="24"/>
          <w:szCs w:val="24"/>
        </w:rPr>
        <w:t>P</w:t>
      </w:r>
      <w:r w:rsidR="00217AE6">
        <w:rPr>
          <w:rFonts w:ascii="Times New Roman" w:hAnsi="Times New Roman"/>
          <w:b/>
          <w:sz w:val="24"/>
          <w:szCs w:val="24"/>
        </w:rPr>
        <w:t>EMBAHASAN</w:t>
      </w:r>
    </w:p>
    <w:p w14:paraId="69AFCFE1" w14:textId="5B6319A3" w:rsidR="00284F80" w:rsidRDefault="00C56860" w:rsidP="00054C09">
      <w:pPr>
        <w:pStyle w:val="ListParagraph"/>
        <w:numPr>
          <w:ilvl w:val="0"/>
          <w:numId w:val="10"/>
        </w:num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Analisis Hukum Terhadap Kasus PT. Asian Agri Group</w:t>
      </w:r>
    </w:p>
    <w:p w14:paraId="29006770" w14:textId="0F8CEC43" w:rsidR="00A159B6" w:rsidRDefault="0037576F" w:rsidP="00340988">
      <w:pPr>
        <w:pStyle w:val="ListParagraph"/>
        <w:numPr>
          <w:ilvl w:val="1"/>
          <w:numId w:val="10"/>
        </w:numPr>
        <w:spacing w:after="0" w:line="360" w:lineRule="auto"/>
        <w:jc w:val="both"/>
        <w:rPr>
          <w:rFonts w:ascii="Times New Roman" w:hAnsi="Times New Roman"/>
          <w:bCs/>
          <w:color w:val="000000" w:themeColor="text1"/>
          <w:sz w:val="24"/>
          <w:szCs w:val="24"/>
        </w:rPr>
      </w:pPr>
      <w:r w:rsidRPr="0037576F">
        <w:rPr>
          <w:rFonts w:ascii="Times New Roman" w:hAnsi="Times New Roman"/>
          <w:bCs/>
          <w:color w:val="000000" w:themeColor="text1"/>
          <w:sz w:val="24"/>
          <w:szCs w:val="24"/>
        </w:rPr>
        <w:t>Kronologi Kasus PT. Asian Agri Grou</w:t>
      </w:r>
      <w:r w:rsidR="00A159B6">
        <w:rPr>
          <w:rFonts w:ascii="Times New Roman" w:hAnsi="Times New Roman"/>
          <w:bCs/>
          <w:color w:val="000000" w:themeColor="text1"/>
          <w:sz w:val="24"/>
          <w:szCs w:val="24"/>
        </w:rPr>
        <w:t>p</w:t>
      </w:r>
    </w:p>
    <w:p w14:paraId="15F3857C" w14:textId="77777777" w:rsidR="004E3915" w:rsidRDefault="0037576F" w:rsidP="00340988">
      <w:pPr>
        <w:pStyle w:val="ListParagraph"/>
        <w:spacing w:after="0" w:line="360" w:lineRule="auto"/>
        <w:ind w:left="1440"/>
        <w:jc w:val="both"/>
        <w:rPr>
          <w:rFonts w:ascii="Times New Roman" w:hAnsi="Times New Roman"/>
          <w:bCs/>
          <w:color w:val="000000" w:themeColor="text1"/>
          <w:sz w:val="24"/>
          <w:szCs w:val="24"/>
        </w:rPr>
      </w:pPr>
      <w:r w:rsidRPr="00A159B6">
        <w:rPr>
          <w:rFonts w:ascii="Times New Roman" w:hAnsi="Times New Roman"/>
          <w:bCs/>
          <w:color w:val="000000" w:themeColor="text1"/>
          <w:sz w:val="24"/>
          <w:szCs w:val="24"/>
        </w:rPr>
        <w:t>Kasus penggelapan pajak PT. Asian Agri</w:t>
      </w:r>
      <w:r w:rsidR="00A159B6">
        <w:rPr>
          <w:rFonts w:ascii="Times New Roman" w:hAnsi="Times New Roman"/>
          <w:bCs/>
          <w:color w:val="000000" w:themeColor="text1"/>
          <w:sz w:val="24"/>
          <w:szCs w:val="24"/>
        </w:rPr>
        <w:t xml:space="preserve"> </w:t>
      </w:r>
      <w:r w:rsidRPr="00A159B6">
        <w:rPr>
          <w:rFonts w:ascii="Times New Roman" w:hAnsi="Times New Roman"/>
          <w:bCs/>
          <w:color w:val="000000" w:themeColor="text1"/>
          <w:sz w:val="24"/>
          <w:szCs w:val="24"/>
        </w:rPr>
        <w:t>Group (AAG) pertama kali terungkap</w:t>
      </w:r>
      <w:r w:rsidR="00A159B6">
        <w:rPr>
          <w:rFonts w:ascii="Times New Roman" w:hAnsi="Times New Roman"/>
          <w:bCs/>
          <w:color w:val="000000" w:themeColor="text1"/>
          <w:sz w:val="24"/>
          <w:szCs w:val="24"/>
        </w:rPr>
        <w:t xml:space="preserve"> </w:t>
      </w:r>
      <w:r w:rsidRPr="00A159B6">
        <w:rPr>
          <w:rFonts w:ascii="Times New Roman" w:hAnsi="Times New Roman"/>
          <w:bCs/>
          <w:color w:val="000000" w:themeColor="text1"/>
          <w:sz w:val="24"/>
          <w:szCs w:val="24"/>
        </w:rPr>
        <w:t>pada</w:t>
      </w:r>
      <w:r w:rsidR="00A159B6">
        <w:rPr>
          <w:rFonts w:ascii="Times New Roman" w:hAnsi="Times New Roman"/>
          <w:bCs/>
          <w:color w:val="000000" w:themeColor="text1"/>
          <w:sz w:val="24"/>
          <w:szCs w:val="24"/>
        </w:rPr>
        <w:t xml:space="preserve"> </w:t>
      </w:r>
      <w:r w:rsidRPr="00A159B6">
        <w:rPr>
          <w:rFonts w:ascii="Times New Roman" w:hAnsi="Times New Roman"/>
          <w:bCs/>
          <w:color w:val="000000" w:themeColor="text1"/>
          <w:sz w:val="24"/>
          <w:szCs w:val="24"/>
        </w:rPr>
        <w:t xml:space="preserve">tahun 2006 ketika Vincentius Amin Sutanto, yang saat itu menjabat sebagai </w:t>
      </w:r>
      <w:r w:rsidRPr="00A159B6">
        <w:rPr>
          <w:rFonts w:ascii="Times New Roman" w:hAnsi="Times New Roman"/>
          <w:bCs/>
          <w:i/>
          <w:iCs/>
          <w:color w:val="000000" w:themeColor="text1"/>
          <w:sz w:val="24"/>
          <w:szCs w:val="24"/>
        </w:rPr>
        <w:t>group financial controller</w:t>
      </w:r>
      <w:r w:rsidRPr="00A159B6">
        <w:rPr>
          <w:rFonts w:ascii="Times New Roman" w:hAnsi="Times New Roman"/>
          <w:bCs/>
          <w:color w:val="000000" w:themeColor="text1"/>
          <w:sz w:val="24"/>
          <w:szCs w:val="24"/>
        </w:rPr>
        <w:t xml:space="preserve"> perusahaan, melaporkan adanya dugaan praktik</w:t>
      </w:r>
      <w:r w:rsidR="00BE0889">
        <w:rPr>
          <w:rFonts w:ascii="Times New Roman" w:hAnsi="Times New Roman"/>
          <w:bCs/>
          <w:color w:val="000000" w:themeColor="text1"/>
          <w:sz w:val="24"/>
          <w:szCs w:val="24"/>
        </w:rPr>
        <w:t xml:space="preserve"> </w:t>
      </w:r>
      <w:r w:rsidRPr="00A159B6">
        <w:rPr>
          <w:rFonts w:ascii="Times New Roman" w:hAnsi="Times New Roman"/>
          <w:bCs/>
          <w:color w:val="000000" w:themeColor="text1"/>
          <w:sz w:val="24"/>
          <w:szCs w:val="24"/>
        </w:rPr>
        <w:t xml:space="preserve">penghindaran pajak kepada Komisi Pemberantasan Korupsi (KPK). Vincentius mengungkapkan bahwa </w:t>
      </w:r>
      <w:r w:rsidRPr="00BE0889">
        <w:rPr>
          <w:rFonts w:ascii="Times New Roman" w:hAnsi="Times New Roman"/>
          <w:bCs/>
          <w:color w:val="000000" w:themeColor="text1"/>
          <w:sz w:val="24"/>
          <w:szCs w:val="24"/>
        </w:rPr>
        <w:t xml:space="preserve">AAG telah melakukan manipulasi keuangan melalui skema </w:t>
      </w:r>
      <w:r w:rsidRPr="00BE0889">
        <w:rPr>
          <w:rFonts w:ascii="Times New Roman" w:hAnsi="Times New Roman"/>
          <w:bCs/>
          <w:i/>
          <w:iCs/>
          <w:color w:val="000000" w:themeColor="text1"/>
          <w:sz w:val="24"/>
          <w:szCs w:val="24"/>
        </w:rPr>
        <w:t>transfer pricing</w:t>
      </w:r>
      <w:r w:rsidRPr="00BE0889">
        <w:rPr>
          <w:rFonts w:ascii="Times New Roman" w:hAnsi="Times New Roman"/>
          <w:bCs/>
          <w:color w:val="000000" w:themeColor="text1"/>
          <w:sz w:val="24"/>
          <w:szCs w:val="24"/>
        </w:rPr>
        <w:t xml:space="preserve"> dan pencatatan transaksi fiktif untuk mengurangi besaran pajak yang harus dibayarkan. Laporan tersebut didukung dengan berbagai dokumen keuangan yang menunjukkan adanya praktik penjualan minyak sawit </w:t>
      </w:r>
      <w:r w:rsidRPr="002E23BF">
        <w:rPr>
          <w:rFonts w:ascii="Times New Roman" w:hAnsi="Times New Roman"/>
          <w:bCs/>
          <w:color w:val="000000" w:themeColor="text1"/>
          <w:sz w:val="24"/>
          <w:szCs w:val="24"/>
        </w:rPr>
        <w:t xml:space="preserve">mentah (CPO) kepada perusahaan afiliasi di luar negeri dengan harga di bawah pasar, yang kemudian dijual kembali dengan harga lebih tinggi. Skema ini memungkinkan </w:t>
      </w:r>
      <w:r w:rsidRPr="00383B1D">
        <w:rPr>
          <w:rFonts w:ascii="Times New Roman" w:hAnsi="Times New Roman"/>
          <w:bCs/>
          <w:color w:val="000000" w:themeColor="text1"/>
          <w:sz w:val="24"/>
          <w:szCs w:val="24"/>
        </w:rPr>
        <w:t>AAG untuk melaporkan pendapatan lebih rendah di Indonesia dan mengalihkan keuntungan ke luar negeri guna menghindari kewajiban pajak dalam negeri.</w:t>
      </w:r>
    </w:p>
    <w:p w14:paraId="147DFBC5" w14:textId="63FBB2BB" w:rsidR="0037576F" w:rsidRDefault="0037576F" w:rsidP="00340988">
      <w:pPr>
        <w:pStyle w:val="ListParagraph"/>
        <w:spacing w:after="0" w:line="360" w:lineRule="auto"/>
        <w:ind w:left="1440"/>
        <w:jc w:val="both"/>
        <w:rPr>
          <w:rFonts w:ascii="Times New Roman" w:hAnsi="Times New Roman"/>
          <w:bCs/>
          <w:color w:val="000000" w:themeColor="text1"/>
          <w:sz w:val="24"/>
          <w:szCs w:val="24"/>
        </w:rPr>
      </w:pPr>
      <w:r w:rsidRPr="004E3915">
        <w:rPr>
          <w:rFonts w:ascii="Times New Roman" w:hAnsi="Times New Roman"/>
          <w:bCs/>
          <w:color w:val="000000" w:themeColor="text1"/>
          <w:sz w:val="24"/>
          <w:szCs w:val="24"/>
        </w:rPr>
        <w:t>Penyelidikan yang dilakukan oleh Direktorat Jenderal Pajak (DJP), bekerja sama dengan Pusat Pelaporan dan Analisis Transaksi Keuangan (PPATK) serta</w:t>
      </w:r>
      <w:r w:rsidR="004E3915">
        <w:rPr>
          <w:rFonts w:ascii="Times New Roman" w:hAnsi="Times New Roman"/>
          <w:bCs/>
          <w:color w:val="000000" w:themeColor="text1"/>
          <w:sz w:val="24"/>
          <w:szCs w:val="24"/>
        </w:rPr>
        <w:t xml:space="preserve"> </w:t>
      </w:r>
      <w:r w:rsidRPr="004E3915">
        <w:rPr>
          <w:rFonts w:ascii="Times New Roman" w:hAnsi="Times New Roman"/>
          <w:bCs/>
          <w:color w:val="000000" w:themeColor="text1"/>
          <w:sz w:val="24"/>
          <w:szCs w:val="24"/>
        </w:rPr>
        <w:t>Kejaksaan Agung, menemukan</w:t>
      </w:r>
      <w:r w:rsidR="004E3915">
        <w:rPr>
          <w:rFonts w:ascii="Times New Roman" w:hAnsi="Times New Roman"/>
          <w:bCs/>
          <w:color w:val="000000" w:themeColor="text1"/>
          <w:sz w:val="24"/>
          <w:szCs w:val="24"/>
        </w:rPr>
        <w:t xml:space="preserve"> </w:t>
      </w:r>
      <w:r w:rsidRPr="004E3915">
        <w:rPr>
          <w:rFonts w:ascii="Times New Roman" w:hAnsi="Times New Roman"/>
          <w:bCs/>
          <w:color w:val="000000" w:themeColor="text1"/>
          <w:sz w:val="24"/>
          <w:szCs w:val="24"/>
        </w:rPr>
        <w:t xml:space="preserve">bahwa AAG telah menggelembungkan biaya operasional hingga Rp. </w:t>
      </w:r>
      <w:r w:rsidRPr="00170F5A">
        <w:rPr>
          <w:rFonts w:ascii="Times New Roman" w:hAnsi="Times New Roman"/>
          <w:bCs/>
          <w:color w:val="000000" w:themeColor="text1"/>
          <w:sz w:val="24"/>
          <w:szCs w:val="24"/>
        </w:rPr>
        <w:t>1.500.000.000.000 mengecilkan hasil penjualan sebesar Rp. 889.000.000.000 serta mencatat kerugian fiktif dalam transaksi ekspor sebesar Rp. 232.000.000.000. Akibat praktik ini, negara mengalami potensi</w:t>
      </w:r>
      <w:r w:rsidR="00170F5A">
        <w:rPr>
          <w:rFonts w:ascii="Times New Roman" w:hAnsi="Times New Roman"/>
          <w:bCs/>
          <w:color w:val="000000" w:themeColor="text1"/>
          <w:sz w:val="24"/>
          <w:szCs w:val="24"/>
        </w:rPr>
        <w:t xml:space="preserve"> </w:t>
      </w:r>
      <w:r w:rsidRPr="00170F5A">
        <w:rPr>
          <w:rFonts w:ascii="Times New Roman" w:hAnsi="Times New Roman"/>
          <w:bCs/>
          <w:color w:val="000000" w:themeColor="text1"/>
          <w:sz w:val="24"/>
          <w:szCs w:val="24"/>
        </w:rPr>
        <w:t>kerugian hingga Rp. 1.300.000.000.000 dalam periode 2002-2005. Setelah melalui serangkaian investigasi, pada Desember 2007 delapan orang pengurus dan direktur perusahaan ditetapkan sebagai tersangka, dan pemerintah mulai mengambil langkah hukum untuk menindaklanjuti kasus ini.</w:t>
      </w:r>
    </w:p>
    <w:p w14:paraId="54DE741B" w14:textId="078B0774" w:rsidR="000F7A63" w:rsidRDefault="000F7A63" w:rsidP="000F7A63">
      <w:pPr>
        <w:pStyle w:val="ListParagraph"/>
        <w:numPr>
          <w:ilvl w:val="1"/>
          <w:numId w:val="10"/>
        </w:numPr>
        <w:spacing w:after="0" w:line="36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Ketentuan Hukum Yang Dilanggar</w:t>
      </w:r>
    </w:p>
    <w:p w14:paraId="273BF4DD" w14:textId="77777777" w:rsidR="00BC6F9C" w:rsidRDefault="00ED7BEB" w:rsidP="00BC6F9C">
      <w:pPr>
        <w:pStyle w:val="ListParagraph"/>
        <w:spacing w:after="0" w:line="360" w:lineRule="auto"/>
        <w:ind w:left="1440"/>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Ketentuan hukum yang dilanggar pada k</w:t>
      </w:r>
      <w:r w:rsidRPr="00ED7BEB">
        <w:rPr>
          <w:rFonts w:ascii="Times New Roman" w:hAnsi="Times New Roman"/>
          <w:bCs/>
          <w:color w:val="000000" w:themeColor="text1"/>
          <w:sz w:val="24"/>
          <w:szCs w:val="24"/>
        </w:rPr>
        <w:t xml:space="preserve">asus PT Asian Agri Group adalah </w:t>
      </w:r>
      <w:r w:rsidR="007076F8">
        <w:rPr>
          <w:rFonts w:ascii="Times New Roman" w:hAnsi="Times New Roman"/>
          <w:bCs/>
          <w:color w:val="000000" w:themeColor="text1"/>
          <w:sz w:val="24"/>
          <w:szCs w:val="24"/>
        </w:rPr>
        <w:t>p</w:t>
      </w:r>
      <w:r w:rsidRPr="007076F8">
        <w:rPr>
          <w:rFonts w:ascii="Times New Roman" w:hAnsi="Times New Roman"/>
          <w:bCs/>
          <w:color w:val="000000" w:themeColor="text1"/>
          <w:sz w:val="24"/>
          <w:szCs w:val="24"/>
        </w:rPr>
        <w:t xml:space="preserve">elanggaran terhadap Undang-Undang </w:t>
      </w:r>
      <w:r w:rsidR="007076F8">
        <w:rPr>
          <w:rFonts w:ascii="Times New Roman" w:hAnsi="Times New Roman"/>
          <w:bCs/>
          <w:color w:val="000000" w:themeColor="text1"/>
          <w:sz w:val="24"/>
          <w:szCs w:val="24"/>
        </w:rPr>
        <w:t>p</w:t>
      </w:r>
      <w:r w:rsidRPr="007076F8">
        <w:rPr>
          <w:rFonts w:ascii="Times New Roman" w:hAnsi="Times New Roman"/>
          <w:bCs/>
          <w:color w:val="000000" w:themeColor="text1"/>
          <w:sz w:val="24"/>
          <w:szCs w:val="24"/>
        </w:rPr>
        <w:t xml:space="preserve">erpajakan, khususnya Pasal 38 dan Pasal 39 ayat (1) UU Nomor 28 Tahun 2007 Tentang Perubahan Ketiga atas UU Nomor 6 Tahun 1983 tentang Ketentuan Umum dan Tata Cara Perpajakan (UU KUP). PT Asian Agri </w:t>
      </w:r>
      <w:r w:rsidR="007076F8">
        <w:rPr>
          <w:rFonts w:ascii="Times New Roman" w:hAnsi="Times New Roman"/>
          <w:bCs/>
          <w:color w:val="000000" w:themeColor="text1"/>
          <w:sz w:val="24"/>
          <w:szCs w:val="24"/>
        </w:rPr>
        <w:t xml:space="preserve">Group </w:t>
      </w:r>
      <w:r w:rsidRPr="007076F8">
        <w:rPr>
          <w:rFonts w:ascii="Times New Roman" w:hAnsi="Times New Roman"/>
          <w:bCs/>
          <w:color w:val="000000" w:themeColor="text1"/>
          <w:sz w:val="24"/>
          <w:szCs w:val="24"/>
        </w:rPr>
        <w:t xml:space="preserve">terbukti melakukan tindak pidana </w:t>
      </w:r>
      <w:r w:rsidR="007076F8">
        <w:rPr>
          <w:rFonts w:ascii="Times New Roman" w:hAnsi="Times New Roman"/>
          <w:bCs/>
          <w:color w:val="000000" w:themeColor="text1"/>
          <w:sz w:val="24"/>
          <w:szCs w:val="24"/>
        </w:rPr>
        <w:t>p</w:t>
      </w:r>
      <w:r w:rsidRPr="007076F8">
        <w:rPr>
          <w:rFonts w:ascii="Times New Roman" w:hAnsi="Times New Roman"/>
          <w:bCs/>
          <w:color w:val="000000" w:themeColor="text1"/>
          <w:sz w:val="24"/>
          <w:szCs w:val="24"/>
        </w:rPr>
        <w:t xml:space="preserve">enggelapan pajak </w:t>
      </w:r>
      <w:r w:rsidRPr="00F11353">
        <w:rPr>
          <w:rFonts w:ascii="Times New Roman" w:hAnsi="Times New Roman"/>
          <w:bCs/>
          <w:i/>
          <w:iCs/>
          <w:color w:val="000000" w:themeColor="text1"/>
          <w:sz w:val="24"/>
          <w:szCs w:val="24"/>
        </w:rPr>
        <w:t>(tax evasion)</w:t>
      </w:r>
      <w:r w:rsidRPr="007076F8">
        <w:rPr>
          <w:rFonts w:ascii="Times New Roman" w:hAnsi="Times New Roman"/>
          <w:bCs/>
          <w:color w:val="000000" w:themeColor="text1"/>
          <w:sz w:val="24"/>
          <w:szCs w:val="24"/>
        </w:rPr>
        <w:t xml:space="preserve"> dengan </w:t>
      </w:r>
      <w:r w:rsidR="007076F8">
        <w:rPr>
          <w:rFonts w:ascii="Times New Roman" w:hAnsi="Times New Roman"/>
          <w:bCs/>
          <w:color w:val="000000" w:themeColor="text1"/>
          <w:sz w:val="24"/>
          <w:szCs w:val="24"/>
        </w:rPr>
        <w:t>m</w:t>
      </w:r>
      <w:r w:rsidRPr="007076F8">
        <w:rPr>
          <w:rFonts w:ascii="Times New Roman" w:hAnsi="Times New Roman"/>
          <w:bCs/>
          <w:color w:val="000000" w:themeColor="text1"/>
          <w:sz w:val="24"/>
          <w:szCs w:val="24"/>
        </w:rPr>
        <w:t xml:space="preserve">enyampaikan surat pemberitahuan </w:t>
      </w:r>
      <w:r w:rsidR="00BE4845">
        <w:rPr>
          <w:rFonts w:ascii="Times New Roman" w:hAnsi="Times New Roman"/>
          <w:bCs/>
          <w:color w:val="000000" w:themeColor="text1"/>
          <w:sz w:val="24"/>
          <w:szCs w:val="24"/>
        </w:rPr>
        <w:t>d</w:t>
      </w:r>
      <w:r w:rsidRPr="007076F8">
        <w:rPr>
          <w:rFonts w:ascii="Times New Roman" w:hAnsi="Times New Roman"/>
          <w:bCs/>
          <w:color w:val="000000" w:themeColor="text1"/>
          <w:sz w:val="24"/>
          <w:szCs w:val="24"/>
        </w:rPr>
        <w:t xml:space="preserve">an/atau keterangan yang tidak benar atau </w:t>
      </w:r>
      <w:r w:rsidR="00BE4845">
        <w:rPr>
          <w:rFonts w:ascii="Times New Roman" w:hAnsi="Times New Roman"/>
          <w:bCs/>
          <w:color w:val="000000" w:themeColor="text1"/>
          <w:sz w:val="24"/>
          <w:szCs w:val="24"/>
        </w:rPr>
        <w:t>t</w:t>
      </w:r>
      <w:r w:rsidRPr="00BE4845">
        <w:rPr>
          <w:rFonts w:ascii="Times New Roman" w:hAnsi="Times New Roman"/>
          <w:bCs/>
          <w:color w:val="000000" w:themeColor="text1"/>
          <w:sz w:val="24"/>
          <w:szCs w:val="24"/>
        </w:rPr>
        <w:t xml:space="preserve">idak lengkap secara berlanjut, sehingga </w:t>
      </w:r>
      <w:r w:rsidR="00BE4845">
        <w:rPr>
          <w:rFonts w:ascii="Times New Roman" w:hAnsi="Times New Roman"/>
          <w:bCs/>
          <w:color w:val="000000" w:themeColor="text1"/>
          <w:sz w:val="24"/>
          <w:szCs w:val="24"/>
        </w:rPr>
        <w:t>m</w:t>
      </w:r>
      <w:r w:rsidRPr="00BE4845">
        <w:rPr>
          <w:rFonts w:ascii="Times New Roman" w:hAnsi="Times New Roman"/>
          <w:bCs/>
          <w:color w:val="000000" w:themeColor="text1"/>
          <w:sz w:val="24"/>
          <w:szCs w:val="24"/>
        </w:rPr>
        <w:t>erugikan negara sekitar Rp1.259.000.000.000.</w:t>
      </w:r>
    </w:p>
    <w:p w14:paraId="16A13C09" w14:textId="3F1BFA59" w:rsidR="00ED7BEB" w:rsidRPr="009D7FFC" w:rsidRDefault="00ED7BEB" w:rsidP="009D7FFC">
      <w:pPr>
        <w:pStyle w:val="ListParagraph"/>
        <w:spacing w:after="0" w:line="360" w:lineRule="auto"/>
        <w:ind w:left="1440"/>
        <w:jc w:val="both"/>
        <w:rPr>
          <w:rFonts w:ascii="Times New Roman" w:hAnsi="Times New Roman"/>
          <w:bCs/>
          <w:color w:val="000000" w:themeColor="text1"/>
          <w:sz w:val="24"/>
          <w:szCs w:val="24"/>
        </w:rPr>
      </w:pPr>
      <w:r w:rsidRPr="00BC6F9C">
        <w:rPr>
          <w:rFonts w:ascii="Times New Roman" w:hAnsi="Times New Roman"/>
          <w:bCs/>
          <w:color w:val="000000" w:themeColor="text1"/>
          <w:sz w:val="24"/>
          <w:szCs w:val="24"/>
        </w:rPr>
        <w:t>Selain itu, Manajer Perpajakan PT Asian Agri</w:t>
      </w:r>
      <w:r w:rsidR="00BC6F9C">
        <w:rPr>
          <w:rFonts w:ascii="Times New Roman" w:hAnsi="Times New Roman"/>
          <w:bCs/>
          <w:color w:val="000000" w:themeColor="text1"/>
          <w:sz w:val="24"/>
          <w:szCs w:val="24"/>
        </w:rPr>
        <w:t xml:space="preserve"> Group</w:t>
      </w:r>
      <w:r w:rsidRPr="00BC6F9C">
        <w:rPr>
          <w:rFonts w:ascii="Times New Roman" w:hAnsi="Times New Roman"/>
          <w:bCs/>
          <w:color w:val="000000" w:themeColor="text1"/>
          <w:sz w:val="24"/>
          <w:szCs w:val="24"/>
        </w:rPr>
        <w:t xml:space="preserve">, Suwir Laut, dihukum karena </w:t>
      </w:r>
      <w:r w:rsidR="00BC6F9C">
        <w:rPr>
          <w:rFonts w:ascii="Times New Roman" w:hAnsi="Times New Roman"/>
          <w:bCs/>
          <w:color w:val="000000" w:themeColor="text1"/>
          <w:sz w:val="24"/>
          <w:szCs w:val="24"/>
        </w:rPr>
        <w:t>m</w:t>
      </w:r>
      <w:r w:rsidRPr="00BC6F9C">
        <w:rPr>
          <w:rFonts w:ascii="Times New Roman" w:hAnsi="Times New Roman"/>
          <w:bCs/>
          <w:color w:val="000000" w:themeColor="text1"/>
          <w:sz w:val="24"/>
          <w:szCs w:val="24"/>
        </w:rPr>
        <w:t xml:space="preserve">elanggar Pasal 39 ayat (1) huruf c UU KUP yang mengatur tentang pemalsuan data </w:t>
      </w:r>
      <w:r w:rsidR="00BC6F9C">
        <w:rPr>
          <w:rFonts w:ascii="Times New Roman" w:hAnsi="Times New Roman"/>
          <w:bCs/>
          <w:color w:val="000000" w:themeColor="text1"/>
          <w:sz w:val="24"/>
          <w:szCs w:val="24"/>
        </w:rPr>
        <w:t>d</w:t>
      </w:r>
      <w:r w:rsidRPr="00BC6F9C">
        <w:rPr>
          <w:rFonts w:ascii="Times New Roman" w:hAnsi="Times New Roman"/>
          <w:bCs/>
          <w:color w:val="000000" w:themeColor="text1"/>
          <w:sz w:val="24"/>
          <w:szCs w:val="24"/>
        </w:rPr>
        <w:t xml:space="preserve">alam pelaporan pajak, yang merupakan </w:t>
      </w:r>
      <w:r w:rsidR="00497285">
        <w:rPr>
          <w:rFonts w:ascii="Times New Roman" w:hAnsi="Times New Roman"/>
          <w:bCs/>
          <w:color w:val="000000" w:themeColor="text1"/>
          <w:sz w:val="24"/>
          <w:szCs w:val="24"/>
        </w:rPr>
        <w:t>p</w:t>
      </w:r>
      <w:r w:rsidRPr="00497285">
        <w:rPr>
          <w:rFonts w:ascii="Times New Roman" w:hAnsi="Times New Roman"/>
          <w:bCs/>
          <w:color w:val="000000" w:themeColor="text1"/>
          <w:sz w:val="24"/>
          <w:szCs w:val="24"/>
        </w:rPr>
        <w:t xml:space="preserve">elanggaran serius terhadap prinsip </w:t>
      </w:r>
      <w:r w:rsidR="00497285">
        <w:rPr>
          <w:rFonts w:ascii="Times New Roman" w:hAnsi="Times New Roman"/>
          <w:bCs/>
          <w:color w:val="000000" w:themeColor="text1"/>
          <w:sz w:val="24"/>
          <w:szCs w:val="24"/>
        </w:rPr>
        <w:t>p</w:t>
      </w:r>
      <w:r w:rsidRPr="00497285">
        <w:rPr>
          <w:rFonts w:ascii="Times New Roman" w:hAnsi="Times New Roman"/>
          <w:bCs/>
          <w:color w:val="000000" w:themeColor="text1"/>
          <w:sz w:val="24"/>
          <w:szCs w:val="24"/>
        </w:rPr>
        <w:t xml:space="preserve">emungutan pajak berdasarkan sistem </w:t>
      </w:r>
      <w:r w:rsidRPr="00F11353">
        <w:rPr>
          <w:rFonts w:ascii="Times New Roman" w:hAnsi="Times New Roman"/>
          <w:bCs/>
          <w:i/>
          <w:iCs/>
          <w:color w:val="000000" w:themeColor="text1"/>
          <w:sz w:val="24"/>
          <w:szCs w:val="24"/>
        </w:rPr>
        <w:t>self-</w:t>
      </w:r>
      <w:r w:rsidR="00497285" w:rsidRPr="00F11353">
        <w:rPr>
          <w:rFonts w:ascii="Times New Roman" w:hAnsi="Times New Roman"/>
          <w:bCs/>
          <w:i/>
          <w:iCs/>
          <w:color w:val="000000" w:themeColor="text1"/>
          <w:sz w:val="24"/>
          <w:szCs w:val="24"/>
        </w:rPr>
        <w:t>a</w:t>
      </w:r>
      <w:r w:rsidRPr="00F11353">
        <w:rPr>
          <w:rFonts w:ascii="Times New Roman" w:hAnsi="Times New Roman"/>
          <w:bCs/>
          <w:i/>
          <w:iCs/>
          <w:color w:val="000000" w:themeColor="text1"/>
          <w:sz w:val="24"/>
          <w:szCs w:val="24"/>
        </w:rPr>
        <w:t>ssessment</w:t>
      </w:r>
      <w:r w:rsidR="005A6B97">
        <w:rPr>
          <w:rFonts w:ascii="Times New Roman" w:hAnsi="Times New Roman"/>
          <w:bCs/>
          <w:color w:val="000000" w:themeColor="text1"/>
          <w:sz w:val="24"/>
          <w:szCs w:val="24"/>
        </w:rPr>
        <w:t>.</w:t>
      </w:r>
      <w:r w:rsidR="005A6B97">
        <w:rPr>
          <w:rStyle w:val="FootnoteReference"/>
          <w:rFonts w:ascii="Times New Roman" w:hAnsi="Times New Roman"/>
          <w:bCs/>
          <w:color w:val="000000" w:themeColor="text1"/>
          <w:sz w:val="24"/>
          <w:szCs w:val="24"/>
        </w:rPr>
        <w:footnoteReference w:id="10"/>
      </w:r>
      <w:r w:rsidR="005A6B97">
        <w:rPr>
          <w:rFonts w:ascii="Times New Roman" w:hAnsi="Times New Roman"/>
          <w:bCs/>
          <w:color w:val="000000" w:themeColor="text1"/>
          <w:sz w:val="24"/>
          <w:szCs w:val="24"/>
        </w:rPr>
        <w:t xml:space="preserve"> </w:t>
      </w:r>
      <w:r w:rsidRPr="00497285">
        <w:rPr>
          <w:rFonts w:ascii="Times New Roman" w:hAnsi="Times New Roman"/>
          <w:bCs/>
          <w:color w:val="000000" w:themeColor="text1"/>
          <w:sz w:val="24"/>
          <w:szCs w:val="24"/>
        </w:rPr>
        <w:t xml:space="preserve">Kasus ini </w:t>
      </w:r>
      <w:r w:rsidR="00497285">
        <w:rPr>
          <w:rFonts w:ascii="Times New Roman" w:hAnsi="Times New Roman"/>
          <w:bCs/>
          <w:color w:val="000000" w:themeColor="text1"/>
          <w:sz w:val="24"/>
          <w:szCs w:val="24"/>
        </w:rPr>
        <w:t>j</w:t>
      </w:r>
      <w:r w:rsidRPr="00497285">
        <w:rPr>
          <w:rFonts w:ascii="Times New Roman" w:hAnsi="Times New Roman"/>
          <w:bCs/>
          <w:color w:val="000000" w:themeColor="text1"/>
          <w:sz w:val="24"/>
          <w:szCs w:val="24"/>
        </w:rPr>
        <w:t xml:space="preserve">uga membuka kemungkinan penerapan Undang-Undang Tindak Pidana Pencucian Uang (UU TPPU) karena adanya indikasi </w:t>
      </w:r>
      <w:r w:rsidR="00E64F76">
        <w:rPr>
          <w:rFonts w:ascii="Times New Roman" w:hAnsi="Times New Roman"/>
          <w:bCs/>
          <w:color w:val="000000" w:themeColor="text1"/>
          <w:sz w:val="24"/>
          <w:szCs w:val="24"/>
        </w:rPr>
        <w:t>k</w:t>
      </w:r>
      <w:r w:rsidRPr="00E64F76">
        <w:rPr>
          <w:rFonts w:ascii="Times New Roman" w:hAnsi="Times New Roman"/>
          <w:bCs/>
          <w:color w:val="000000" w:themeColor="text1"/>
          <w:sz w:val="24"/>
          <w:szCs w:val="24"/>
        </w:rPr>
        <w:t xml:space="preserve">euntungan yang diperoleh dari </w:t>
      </w:r>
      <w:r w:rsidR="00E64F76">
        <w:rPr>
          <w:rFonts w:ascii="Times New Roman" w:hAnsi="Times New Roman"/>
          <w:bCs/>
          <w:color w:val="000000" w:themeColor="text1"/>
          <w:sz w:val="24"/>
          <w:szCs w:val="24"/>
        </w:rPr>
        <w:t>p</w:t>
      </w:r>
      <w:r w:rsidRPr="00E64F76">
        <w:rPr>
          <w:rFonts w:ascii="Times New Roman" w:hAnsi="Times New Roman"/>
          <w:bCs/>
          <w:color w:val="000000" w:themeColor="text1"/>
          <w:sz w:val="24"/>
          <w:szCs w:val="24"/>
        </w:rPr>
        <w:t xml:space="preserve">enggelapan pajak tersebut dan adanya </w:t>
      </w:r>
      <w:r w:rsidR="00E64F76">
        <w:rPr>
          <w:rFonts w:ascii="Times New Roman" w:hAnsi="Times New Roman"/>
          <w:bCs/>
          <w:color w:val="000000" w:themeColor="text1"/>
          <w:sz w:val="24"/>
          <w:szCs w:val="24"/>
        </w:rPr>
        <w:t>m</w:t>
      </w:r>
      <w:r w:rsidRPr="00E64F76">
        <w:rPr>
          <w:rFonts w:ascii="Times New Roman" w:hAnsi="Times New Roman"/>
          <w:bCs/>
          <w:color w:val="000000" w:themeColor="text1"/>
          <w:sz w:val="24"/>
          <w:szCs w:val="24"/>
        </w:rPr>
        <w:t xml:space="preserve">odus operandi seperti </w:t>
      </w:r>
      <w:r w:rsidRPr="00F11353">
        <w:rPr>
          <w:rFonts w:ascii="Times New Roman" w:hAnsi="Times New Roman"/>
          <w:bCs/>
          <w:i/>
          <w:iCs/>
          <w:color w:val="000000" w:themeColor="text1"/>
          <w:sz w:val="24"/>
          <w:szCs w:val="24"/>
        </w:rPr>
        <w:t>transfer pricing</w:t>
      </w:r>
      <w:r w:rsidRPr="00E64F76">
        <w:rPr>
          <w:rFonts w:ascii="Times New Roman" w:hAnsi="Times New Roman"/>
          <w:bCs/>
          <w:color w:val="000000" w:themeColor="text1"/>
          <w:sz w:val="24"/>
          <w:szCs w:val="24"/>
        </w:rPr>
        <w:t xml:space="preserve"> dan </w:t>
      </w:r>
      <w:r w:rsidR="009D7FFC">
        <w:rPr>
          <w:rFonts w:ascii="Times New Roman" w:hAnsi="Times New Roman"/>
          <w:bCs/>
          <w:color w:val="000000" w:themeColor="text1"/>
          <w:sz w:val="24"/>
          <w:szCs w:val="24"/>
        </w:rPr>
        <w:t>r</w:t>
      </w:r>
      <w:r w:rsidRPr="009D7FFC">
        <w:rPr>
          <w:rFonts w:ascii="Times New Roman" w:hAnsi="Times New Roman"/>
          <w:bCs/>
          <w:color w:val="000000" w:themeColor="text1"/>
          <w:sz w:val="24"/>
          <w:szCs w:val="24"/>
        </w:rPr>
        <w:t>ekayasa transaksi yang merugikan negara.</w:t>
      </w:r>
    </w:p>
    <w:p w14:paraId="01399CA3" w14:textId="77777777" w:rsidR="0096498E" w:rsidRDefault="003A2888" w:rsidP="0096498E">
      <w:pPr>
        <w:pStyle w:val="ListParagraph"/>
        <w:numPr>
          <w:ilvl w:val="1"/>
          <w:numId w:val="10"/>
        </w:numPr>
        <w:spacing w:after="0" w:line="36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Analisis Putusan Mahkamah Agung</w:t>
      </w:r>
    </w:p>
    <w:p w14:paraId="46B57C5F" w14:textId="50CF545E" w:rsidR="001E3CD7" w:rsidRDefault="0096498E" w:rsidP="00516BF7">
      <w:pPr>
        <w:pStyle w:val="ListParagraph"/>
        <w:spacing w:after="0" w:line="360" w:lineRule="auto"/>
        <w:ind w:left="1440"/>
        <w:jc w:val="both"/>
        <w:rPr>
          <w:rFonts w:ascii="Times New Roman" w:hAnsi="Times New Roman"/>
          <w:bCs/>
          <w:color w:val="000000" w:themeColor="text1"/>
          <w:sz w:val="24"/>
          <w:szCs w:val="24"/>
        </w:rPr>
      </w:pPr>
      <w:r w:rsidRPr="0096498E">
        <w:rPr>
          <w:rFonts w:ascii="Times New Roman" w:hAnsi="Times New Roman"/>
          <w:bCs/>
          <w:color w:val="000000" w:themeColor="text1"/>
          <w:sz w:val="24"/>
          <w:szCs w:val="24"/>
        </w:rPr>
        <w:t xml:space="preserve">Proses hukum terhadap AAG menunjukkan </w:t>
      </w:r>
      <w:r w:rsidRPr="00DF149C">
        <w:rPr>
          <w:rFonts w:ascii="Times New Roman" w:hAnsi="Times New Roman"/>
          <w:bCs/>
          <w:color w:val="000000" w:themeColor="text1"/>
          <w:sz w:val="24"/>
          <w:szCs w:val="24"/>
        </w:rPr>
        <w:t xml:space="preserve">berbagai tantangan dalam penegakan hukum perpajakan di Indonesia. Setelah melalui penyelidikan yang panjang, Mahkamah Agung pada tahun 2012 akhirnya menjatuhkan putusan yang mewajibkan AAG membayar denda sebesar Rp. 2.519.000.000.000 yang merupakan denda terbesar dalam sejarah perpajakan Indonesia. Putusan Mahkamah Agung ini memberikan landasan baru dalam </w:t>
      </w:r>
      <w:r w:rsidRPr="006941A9">
        <w:rPr>
          <w:rFonts w:ascii="Times New Roman" w:hAnsi="Times New Roman"/>
          <w:bCs/>
          <w:color w:val="000000" w:themeColor="text1"/>
          <w:sz w:val="24"/>
          <w:szCs w:val="24"/>
        </w:rPr>
        <w:t>penegakan hukum di bidang perpajakan di Indonesia</w:t>
      </w:r>
      <w:r w:rsidR="005A6B97">
        <w:rPr>
          <w:rFonts w:ascii="Times New Roman" w:hAnsi="Times New Roman"/>
          <w:bCs/>
          <w:color w:val="000000" w:themeColor="text1"/>
          <w:sz w:val="24"/>
          <w:szCs w:val="24"/>
        </w:rPr>
        <w:t>.</w:t>
      </w:r>
      <w:r w:rsidR="005A6B97">
        <w:rPr>
          <w:rStyle w:val="FootnoteReference"/>
          <w:rFonts w:ascii="Times New Roman" w:hAnsi="Times New Roman"/>
          <w:bCs/>
          <w:color w:val="000000" w:themeColor="text1"/>
          <w:sz w:val="24"/>
          <w:szCs w:val="24"/>
        </w:rPr>
        <w:footnoteReference w:id="11"/>
      </w:r>
      <w:r w:rsidRPr="006941A9">
        <w:rPr>
          <w:rFonts w:ascii="Times New Roman" w:hAnsi="Times New Roman"/>
          <w:bCs/>
          <w:color w:val="000000" w:themeColor="text1"/>
          <w:sz w:val="24"/>
          <w:szCs w:val="24"/>
        </w:rPr>
        <w:t xml:space="preserve"> Putusan ini menegaskan bahwa perusahaan bertanggung jawab atas praktik penggelapan pajak yang dilakukan melalui </w:t>
      </w:r>
      <w:r w:rsidRPr="006941A9">
        <w:rPr>
          <w:rFonts w:ascii="Times New Roman" w:hAnsi="Times New Roman"/>
          <w:bCs/>
          <w:color w:val="000000" w:themeColor="text1"/>
          <w:sz w:val="24"/>
          <w:szCs w:val="24"/>
        </w:rPr>
        <w:lastRenderedPageBreak/>
        <w:t>berbagai skema manipulasi keuangan. Namun, meskipun perusahaan telah menerima hukuman berupa denda, perdebatan mengenai pertanggungjawaban individu di dalam manajemen perusahaan masih terus</w:t>
      </w:r>
      <w:r w:rsidR="006941A9">
        <w:rPr>
          <w:rFonts w:ascii="Times New Roman" w:hAnsi="Times New Roman"/>
          <w:bCs/>
          <w:color w:val="000000" w:themeColor="text1"/>
          <w:sz w:val="24"/>
          <w:szCs w:val="24"/>
        </w:rPr>
        <w:t xml:space="preserve"> </w:t>
      </w:r>
      <w:r w:rsidR="001E3CD7">
        <w:rPr>
          <w:rFonts w:ascii="Times New Roman" w:hAnsi="Times New Roman"/>
          <w:bCs/>
          <w:color w:val="000000" w:themeColor="text1"/>
          <w:sz w:val="24"/>
          <w:szCs w:val="24"/>
        </w:rPr>
        <w:t>berlangsung. Tidak semua individu yang t</w:t>
      </w:r>
      <w:r w:rsidR="001E3CD7" w:rsidRPr="001E3CD7">
        <w:rPr>
          <w:rFonts w:ascii="Times New Roman" w:hAnsi="Times New Roman"/>
          <w:bCs/>
          <w:color w:val="000000" w:themeColor="text1"/>
          <w:sz w:val="24"/>
          <w:szCs w:val="24"/>
        </w:rPr>
        <w:t xml:space="preserve">erlibat dalam keputusan keuangan tersebut </w:t>
      </w:r>
      <w:r w:rsidR="00516BF7">
        <w:rPr>
          <w:rFonts w:ascii="Times New Roman" w:hAnsi="Times New Roman"/>
          <w:bCs/>
          <w:color w:val="000000" w:themeColor="text1"/>
          <w:sz w:val="24"/>
          <w:szCs w:val="24"/>
        </w:rPr>
        <w:t>m</w:t>
      </w:r>
      <w:r w:rsidR="001E3CD7" w:rsidRPr="00516BF7">
        <w:rPr>
          <w:rFonts w:ascii="Times New Roman" w:hAnsi="Times New Roman"/>
          <w:bCs/>
          <w:color w:val="000000" w:themeColor="text1"/>
          <w:sz w:val="24"/>
          <w:szCs w:val="24"/>
        </w:rPr>
        <w:t xml:space="preserve">enerima hukuman yang setimpal, sehingga </w:t>
      </w:r>
      <w:r w:rsidR="00516BF7">
        <w:rPr>
          <w:rFonts w:ascii="Times New Roman" w:hAnsi="Times New Roman"/>
          <w:bCs/>
          <w:color w:val="000000" w:themeColor="text1"/>
          <w:sz w:val="24"/>
          <w:szCs w:val="24"/>
        </w:rPr>
        <w:t>m</w:t>
      </w:r>
      <w:r w:rsidR="001E3CD7" w:rsidRPr="00516BF7">
        <w:rPr>
          <w:rFonts w:ascii="Times New Roman" w:hAnsi="Times New Roman"/>
          <w:bCs/>
          <w:color w:val="000000" w:themeColor="text1"/>
          <w:sz w:val="24"/>
          <w:szCs w:val="24"/>
        </w:rPr>
        <w:t xml:space="preserve">emunculkan pertanyaan mengenai </w:t>
      </w:r>
      <w:r w:rsidR="00516BF7">
        <w:rPr>
          <w:rFonts w:ascii="Times New Roman" w:hAnsi="Times New Roman"/>
          <w:bCs/>
          <w:color w:val="000000" w:themeColor="text1"/>
          <w:sz w:val="24"/>
          <w:szCs w:val="24"/>
        </w:rPr>
        <w:t>e</w:t>
      </w:r>
      <w:r w:rsidR="001E3CD7" w:rsidRPr="00516BF7">
        <w:rPr>
          <w:rFonts w:ascii="Times New Roman" w:hAnsi="Times New Roman"/>
          <w:bCs/>
          <w:color w:val="000000" w:themeColor="text1"/>
          <w:sz w:val="24"/>
          <w:szCs w:val="24"/>
        </w:rPr>
        <w:t xml:space="preserve">fektivitas hukum dalam menjerat pelaku </w:t>
      </w:r>
      <w:r w:rsidR="00516BF7">
        <w:rPr>
          <w:rFonts w:ascii="Times New Roman" w:hAnsi="Times New Roman"/>
          <w:bCs/>
          <w:color w:val="000000" w:themeColor="text1"/>
          <w:sz w:val="24"/>
          <w:szCs w:val="24"/>
        </w:rPr>
        <w:t>u</w:t>
      </w:r>
      <w:r w:rsidR="001E3CD7" w:rsidRPr="00516BF7">
        <w:rPr>
          <w:rFonts w:ascii="Times New Roman" w:hAnsi="Times New Roman"/>
          <w:bCs/>
          <w:color w:val="000000" w:themeColor="text1"/>
          <w:sz w:val="24"/>
          <w:szCs w:val="24"/>
        </w:rPr>
        <w:t>tama penggelapan pajak di dalam</w:t>
      </w:r>
      <w:r w:rsidR="00516BF7">
        <w:rPr>
          <w:rFonts w:ascii="Times New Roman" w:hAnsi="Times New Roman"/>
          <w:bCs/>
          <w:color w:val="000000" w:themeColor="text1"/>
          <w:sz w:val="24"/>
          <w:szCs w:val="24"/>
        </w:rPr>
        <w:t xml:space="preserve"> p</w:t>
      </w:r>
      <w:r w:rsidR="001E3CD7" w:rsidRPr="00516BF7">
        <w:rPr>
          <w:rFonts w:ascii="Times New Roman" w:hAnsi="Times New Roman"/>
          <w:bCs/>
          <w:color w:val="000000" w:themeColor="text1"/>
          <w:sz w:val="24"/>
          <w:szCs w:val="24"/>
        </w:rPr>
        <w:t>erusahaan.</w:t>
      </w:r>
    </w:p>
    <w:p w14:paraId="18ECB417" w14:textId="435C3676" w:rsidR="00CF616A" w:rsidRPr="00CE7992" w:rsidRDefault="00CF616A" w:rsidP="00CE7992">
      <w:pPr>
        <w:pStyle w:val="ListParagraph"/>
        <w:spacing w:after="0" w:line="360" w:lineRule="auto"/>
        <w:ind w:left="1440"/>
        <w:jc w:val="both"/>
        <w:rPr>
          <w:rFonts w:ascii="Times New Roman" w:hAnsi="Times New Roman"/>
          <w:bCs/>
          <w:color w:val="000000" w:themeColor="text1"/>
          <w:sz w:val="24"/>
          <w:szCs w:val="24"/>
        </w:rPr>
      </w:pPr>
      <w:r>
        <w:rPr>
          <w:rFonts w:ascii="Times New Roman" w:hAnsi="Times New Roman"/>
          <w:bCs/>
          <w:color w:val="000000" w:themeColor="text1"/>
          <w:sz w:val="24"/>
          <w:szCs w:val="24"/>
        </w:rPr>
        <w:t>Kasus ini juga memperlihatkan adanya celah h</w:t>
      </w:r>
      <w:r w:rsidRPr="00CF616A">
        <w:rPr>
          <w:rFonts w:ascii="Times New Roman" w:hAnsi="Times New Roman"/>
          <w:bCs/>
          <w:color w:val="000000" w:themeColor="text1"/>
          <w:sz w:val="24"/>
          <w:szCs w:val="24"/>
        </w:rPr>
        <w:t xml:space="preserve">ukum dalam penerapan </w:t>
      </w:r>
      <w:r>
        <w:rPr>
          <w:rFonts w:ascii="Times New Roman" w:hAnsi="Times New Roman"/>
          <w:bCs/>
          <w:color w:val="000000" w:themeColor="text1"/>
          <w:sz w:val="24"/>
          <w:szCs w:val="24"/>
        </w:rPr>
        <w:t>p</w:t>
      </w:r>
      <w:r w:rsidRPr="00CF616A">
        <w:rPr>
          <w:rFonts w:ascii="Times New Roman" w:hAnsi="Times New Roman"/>
          <w:bCs/>
          <w:color w:val="000000" w:themeColor="text1"/>
          <w:sz w:val="24"/>
          <w:szCs w:val="24"/>
        </w:rPr>
        <w:t>ertanggungjawaban pidana korporasi.</w:t>
      </w:r>
      <w:r>
        <w:rPr>
          <w:rFonts w:ascii="Times New Roman" w:hAnsi="Times New Roman"/>
          <w:bCs/>
          <w:color w:val="000000" w:themeColor="text1"/>
          <w:sz w:val="24"/>
          <w:szCs w:val="24"/>
        </w:rPr>
        <w:t xml:space="preserve"> </w:t>
      </w:r>
      <w:r w:rsidRPr="00CF616A">
        <w:rPr>
          <w:rFonts w:ascii="Times New Roman" w:hAnsi="Times New Roman"/>
          <w:bCs/>
          <w:color w:val="000000" w:themeColor="text1"/>
          <w:sz w:val="24"/>
          <w:szCs w:val="24"/>
        </w:rPr>
        <w:t xml:space="preserve">Dalam sistem hukum Indonesia, perusahaan </w:t>
      </w:r>
      <w:r>
        <w:rPr>
          <w:rFonts w:ascii="Times New Roman" w:hAnsi="Times New Roman"/>
          <w:bCs/>
          <w:color w:val="000000" w:themeColor="text1"/>
          <w:sz w:val="24"/>
          <w:szCs w:val="24"/>
        </w:rPr>
        <w:t>d</w:t>
      </w:r>
      <w:r w:rsidRPr="00CF616A">
        <w:rPr>
          <w:rFonts w:ascii="Times New Roman" w:hAnsi="Times New Roman"/>
          <w:bCs/>
          <w:color w:val="000000" w:themeColor="text1"/>
          <w:sz w:val="24"/>
          <w:szCs w:val="24"/>
        </w:rPr>
        <w:t>apat dikenakan sanksi atas pelanggaran</w:t>
      </w:r>
      <w:r>
        <w:rPr>
          <w:rFonts w:ascii="Times New Roman" w:hAnsi="Times New Roman"/>
          <w:bCs/>
          <w:color w:val="000000" w:themeColor="text1"/>
          <w:sz w:val="24"/>
          <w:szCs w:val="24"/>
        </w:rPr>
        <w:t xml:space="preserve"> p</w:t>
      </w:r>
      <w:r w:rsidRPr="00CF616A">
        <w:rPr>
          <w:rFonts w:ascii="Times New Roman" w:hAnsi="Times New Roman"/>
          <w:bCs/>
          <w:color w:val="000000" w:themeColor="text1"/>
          <w:sz w:val="24"/>
          <w:szCs w:val="24"/>
        </w:rPr>
        <w:t xml:space="preserve">ajak yang dilakukan, tetapi masih terdapat </w:t>
      </w:r>
      <w:r>
        <w:rPr>
          <w:rFonts w:ascii="Times New Roman" w:hAnsi="Times New Roman"/>
          <w:bCs/>
          <w:color w:val="000000" w:themeColor="text1"/>
          <w:sz w:val="24"/>
          <w:szCs w:val="24"/>
        </w:rPr>
        <w:t>k</w:t>
      </w:r>
      <w:r w:rsidRPr="00CF616A">
        <w:rPr>
          <w:rFonts w:ascii="Times New Roman" w:hAnsi="Times New Roman"/>
          <w:bCs/>
          <w:color w:val="000000" w:themeColor="text1"/>
          <w:sz w:val="24"/>
          <w:szCs w:val="24"/>
        </w:rPr>
        <w:t>etidaktegasan dalam menentukan batas</w:t>
      </w:r>
      <w:r>
        <w:rPr>
          <w:rFonts w:ascii="Times New Roman" w:hAnsi="Times New Roman"/>
          <w:bCs/>
          <w:color w:val="000000" w:themeColor="text1"/>
          <w:sz w:val="24"/>
          <w:szCs w:val="24"/>
        </w:rPr>
        <w:t xml:space="preserve"> p</w:t>
      </w:r>
      <w:r w:rsidRPr="00CF616A">
        <w:rPr>
          <w:rFonts w:ascii="Times New Roman" w:hAnsi="Times New Roman"/>
          <w:bCs/>
          <w:color w:val="000000" w:themeColor="text1"/>
          <w:sz w:val="24"/>
          <w:szCs w:val="24"/>
        </w:rPr>
        <w:t xml:space="preserve">ertanggungjawaban antara perusahaan dan </w:t>
      </w:r>
      <w:r>
        <w:rPr>
          <w:rFonts w:ascii="Times New Roman" w:hAnsi="Times New Roman"/>
          <w:bCs/>
          <w:color w:val="000000" w:themeColor="text1"/>
          <w:sz w:val="24"/>
          <w:szCs w:val="24"/>
        </w:rPr>
        <w:t>i</w:t>
      </w:r>
      <w:r w:rsidRPr="00CF616A">
        <w:rPr>
          <w:rFonts w:ascii="Times New Roman" w:hAnsi="Times New Roman"/>
          <w:bCs/>
          <w:color w:val="000000" w:themeColor="text1"/>
          <w:sz w:val="24"/>
          <w:szCs w:val="24"/>
        </w:rPr>
        <w:t xml:space="preserve">ndividu yang menjalankan kebijakan </w:t>
      </w:r>
      <w:r>
        <w:rPr>
          <w:rFonts w:ascii="Times New Roman" w:hAnsi="Times New Roman"/>
          <w:bCs/>
          <w:color w:val="000000" w:themeColor="text1"/>
          <w:sz w:val="24"/>
          <w:szCs w:val="24"/>
        </w:rPr>
        <w:t>k</w:t>
      </w:r>
      <w:r w:rsidRPr="00CF616A">
        <w:rPr>
          <w:rFonts w:ascii="Times New Roman" w:hAnsi="Times New Roman"/>
          <w:bCs/>
          <w:color w:val="000000" w:themeColor="text1"/>
          <w:sz w:val="24"/>
          <w:szCs w:val="24"/>
        </w:rPr>
        <w:t xml:space="preserve">euangan. AAG sendiri sempat mengajukan </w:t>
      </w:r>
      <w:r>
        <w:rPr>
          <w:rFonts w:ascii="Times New Roman" w:hAnsi="Times New Roman"/>
          <w:bCs/>
          <w:color w:val="000000" w:themeColor="text1"/>
          <w:sz w:val="24"/>
          <w:szCs w:val="24"/>
        </w:rPr>
        <w:t>k</w:t>
      </w:r>
      <w:r w:rsidRPr="00CF616A">
        <w:rPr>
          <w:rFonts w:ascii="Times New Roman" w:hAnsi="Times New Roman"/>
          <w:bCs/>
          <w:color w:val="000000" w:themeColor="text1"/>
          <w:sz w:val="24"/>
          <w:szCs w:val="24"/>
        </w:rPr>
        <w:t xml:space="preserve">eberatan terhadap Surat Ketetapan Pajak (SKP) yang diterbitkan oleh DJP dengan </w:t>
      </w:r>
      <w:r>
        <w:rPr>
          <w:rFonts w:ascii="Times New Roman" w:hAnsi="Times New Roman"/>
          <w:bCs/>
          <w:color w:val="000000" w:themeColor="text1"/>
          <w:sz w:val="24"/>
          <w:szCs w:val="24"/>
        </w:rPr>
        <w:t>a</w:t>
      </w:r>
      <w:r w:rsidRPr="00CF616A">
        <w:rPr>
          <w:rFonts w:ascii="Times New Roman" w:hAnsi="Times New Roman"/>
          <w:bCs/>
          <w:color w:val="000000" w:themeColor="text1"/>
          <w:sz w:val="24"/>
          <w:szCs w:val="24"/>
        </w:rPr>
        <w:t xml:space="preserve">lasan bahwa jumlah pajak terutang yang </w:t>
      </w:r>
      <w:r>
        <w:rPr>
          <w:rFonts w:ascii="Times New Roman" w:hAnsi="Times New Roman"/>
          <w:bCs/>
          <w:color w:val="000000" w:themeColor="text1"/>
          <w:sz w:val="24"/>
          <w:szCs w:val="24"/>
        </w:rPr>
        <w:t>d</w:t>
      </w:r>
      <w:r w:rsidRPr="00CF616A">
        <w:rPr>
          <w:rFonts w:ascii="Times New Roman" w:hAnsi="Times New Roman"/>
          <w:bCs/>
          <w:color w:val="000000" w:themeColor="text1"/>
          <w:sz w:val="24"/>
          <w:szCs w:val="24"/>
        </w:rPr>
        <w:t xml:space="preserve">itetapkan melebihi keuntungan perusahaan </w:t>
      </w:r>
      <w:r>
        <w:rPr>
          <w:rFonts w:ascii="Times New Roman" w:hAnsi="Times New Roman"/>
          <w:bCs/>
          <w:color w:val="000000" w:themeColor="text1"/>
          <w:sz w:val="24"/>
          <w:szCs w:val="24"/>
        </w:rPr>
        <w:t>d</w:t>
      </w:r>
      <w:r w:rsidRPr="00CF616A">
        <w:rPr>
          <w:rFonts w:ascii="Times New Roman" w:hAnsi="Times New Roman"/>
          <w:bCs/>
          <w:color w:val="000000" w:themeColor="text1"/>
          <w:sz w:val="24"/>
          <w:szCs w:val="24"/>
        </w:rPr>
        <w:t xml:space="preserve">alam periode tersebut. Meskipun akhirnya </w:t>
      </w:r>
      <w:r>
        <w:rPr>
          <w:rFonts w:ascii="Times New Roman" w:hAnsi="Times New Roman"/>
          <w:bCs/>
          <w:color w:val="000000" w:themeColor="text1"/>
          <w:sz w:val="24"/>
          <w:szCs w:val="24"/>
        </w:rPr>
        <w:t>p</w:t>
      </w:r>
      <w:r w:rsidRPr="00CF616A">
        <w:rPr>
          <w:rFonts w:ascii="Times New Roman" w:hAnsi="Times New Roman"/>
          <w:bCs/>
          <w:color w:val="000000" w:themeColor="text1"/>
          <w:sz w:val="24"/>
          <w:szCs w:val="24"/>
        </w:rPr>
        <w:t>erusahaan melunasi kewajiban pajaknya,</w:t>
      </w:r>
      <w:r>
        <w:rPr>
          <w:rFonts w:ascii="Times New Roman" w:hAnsi="Times New Roman"/>
          <w:bCs/>
          <w:color w:val="000000" w:themeColor="text1"/>
          <w:sz w:val="24"/>
          <w:szCs w:val="24"/>
        </w:rPr>
        <w:t xml:space="preserve"> k</w:t>
      </w:r>
      <w:r w:rsidRPr="00CF616A">
        <w:rPr>
          <w:rFonts w:ascii="Times New Roman" w:hAnsi="Times New Roman"/>
          <w:bCs/>
          <w:color w:val="000000" w:themeColor="text1"/>
          <w:sz w:val="24"/>
          <w:szCs w:val="24"/>
        </w:rPr>
        <w:t xml:space="preserve">asus ini mengungkap bahwa proses </w:t>
      </w:r>
      <w:r>
        <w:rPr>
          <w:rFonts w:ascii="Times New Roman" w:hAnsi="Times New Roman"/>
          <w:bCs/>
          <w:color w:val="000000" w:themeColor="text1"/>
          <w:sz w:val="24"/>
          <w:szCs w:val="24"/>
        </w:rPr>
        <w:t>p</w:t>
      </w:r>
      <w:r w:rsidRPr="00CF616A">
        <w:rPr>
          <w:rFonts w:ascii="Times New Roman" w:hAnsi="Times New Roman"/>
          <w:bCs/>
          <w:color w:val="000000" w:themeColor="text1"/>
          <w:sz w:val="24"/>
          <w:szCs w:val="24"/>
        </w:rPr>
        <w:t xml:space="preserve">enyelesaian sengketa perpajakan di Indonesia masih menghadapi berbagai </w:t>
      </w:r>
      <w:r>
        <w:rPr>
          <w:rFonts w:ascii="Times New Roman" w:hAnsi="Times New Roman"/>
          <w:bCs/>
          <w:color w:val="000000" w:themeColor="text1"/>
          <w:sz w:val="24"/>
          <w:szCs w:val="24"/>
        </w:rPr>
        <w:t>h</w:t>
      </w:r>
      <w:r w:rsidRPr="00CF616A">
        <w:rPr>
          <w:rFonts w:ascii="Times New Roman" w:hAnsi="Times New Roman"/>
          <w:bCs/>
          <w:color w:val="000000" w:themeColor="text1"/>
          <w:sz w:val="24"/>
          <w:szCs w:val="24"/>
        </w:rPr>
        <w:t xml:space="preserve">ambatan, termasuk keberatan dari wajib </w:t>
      </w:r>
      <w:r w:rsidR="00CE7992">
        <w:rPr>
          <w:rFonts w:ascii="Times New Roman" w:hAnsi="Times New Roman"/>
          <w:bCs/>
          <w:color w:val="000000" w:themeColor="text1"/>
          <w:sz w:val="24"/>
          <w:szCs w:val="24"/>
        </w:rPr>
        <w:t>p</w:t>
      </w:r>
      <w:r w:rsidRPr="00CE7992">
        <w:rPr>
          <w:rFonts w:ascii="Times New Roman" w:hAnsi="Times New Roman"/>
          <w:bCs/>
          <w:color w:val="000000" w:themeColor="text1"/>
          <w:sz w:val="24"/>
          <w:szCs w:val="24"/>
        </w:rPr>
        <w:t xml:space="preserve">ajak serta keterlambatan dalam proses </w:t>
      </w:r>
      <w:r w:rsidR="00CE7992">
        <w:rPr>
          <w:rFonts w:ascii="Times New Roman" w:hAnsi="Times New Roman"/>
          <w:bCs/>
          <w:color w:val="000000" w:themeColor="text1"/>
          <w:sz w:val="24"/>
          <w:szCs w:val="24"/>
        </w:rPr>
        <w:t>h</w:t>
      </w:r>
      <w:r w:rsidRPr="00CE7992">
        <w:rPr>
          <w:rFonts w:ascii="Times New Roman" w:hAnsi="Times New Roman"/>
          <w:bCs/>
          <w:color w:val="000000" w:themeColor="text1"/>
          <w:sz w:val="24"/>
          <w:szCs w:val="24"/>
        </w:rPr>
        <w:t xml:space="preserve">ukum yang dapat mengurangi efektivitas </w:t>
      </w:r>
      <w:r w:rsidR="00CE7992">
        <w:rPr>
          <w:rFonts w:ascii="Times New Roman" w:hAnsi="Times New Roman"/>
          <w:bCs/>
          <w:color w:val="000000" w:themeColor="text1"/>
          <w:sz w:val="24"/>
          <w:szCs w:val="24"/>
        </w:rPr>
        <w:t>s</w:t>
      </w:r>
      <w:r w:rsidRPr="00CE7992">
        <w:rPr>
          <w:rFonts w:ascii="Times New Roman" w:hAnsi="Times New Roman"/>
          <w:bCs/>
          <w:color w:val="000000" w:themeColor="text1"/>
          <w:sz w:val="24"/>
          <w:szCs w:val="24"/>
        </w:rPr>
        <w:t>anksi yang dijatuhkan</w:t>
      </w:r>
      <w:r w:rsidR="005A6B97">
        <w:rPr>
          <w:rFonts w:ascii="Times New Roman" w:hAnsi="Times New Roman"/>
          <w:bCs/>
          <w:color w:val="000000" w:themeColor="text1"/>
          <w:sz w:val="24"/>
          <w:szCs w:val="24"/>
        </w:rPr>
        <w:t>.</w:t>
      </w:r>
      <w:r w:rsidR="005A6B97">
        <w:rPr>
          <w:rStyle w:val="FootnoteReference"/>
          <w:rFonts w:ascii="Times New Roman" w:hAnsi="Times New Roman"/>
          <w:bCs/>
          <w:color w:val="000000" w:themeColor="text1"/>
          <w:sz w:val="24"/>
          <w:szCs w:val="24"/>
        </w:rPr>
        <w:footnoteReference w:id="12"/>
      </w:r>
    </w:p>
    <w:p w14:paraId="4383D263" w14:textId="3B7130BD" w:rsidR="00F62D1C" w:rsidRDefault="00F62D1C" w:rsidP="00F62D1C">
      <w:pPr>
        <w:pStyle w:val="ListParagraph"/>
        <w:numPr>
          <w:ilvl w:val="0"/>
          <w:numId w:val="10"/>
        </w:num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Pertanggungjawaban Korporasi Dalam Tindak </w:t>
      </w:r>
      <w:r w:rsidRPr="00F62D1C">
        <w:rPr>
          <w:rFonts w:ascii="Times New Roman" w:hAnsi="Times New Roman"/>
          <w:b/>
          <w:color w:val="000000" w:themeColor="text1"/>
          <w:sz w:val="24"/>
          <w:szCs w:val="24"/>
        </w:rPr>
        <w:t>Pidana Perpajakan di Indonesia</w:t>
      </w:r>
    </w:p>
    <w:p w14:paraId="6FA46F39" w14:textId="26CAB377" w:rsidR="003D41D1" w:rsidRDefault="003D41D1" w:rsidP="00D962F1">
      <w:pPr>
        <w:pStyle w:val="ListParagraph"/>
        <w:spacing w:after="0" w:line="36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Konsep pertanggungjawaban pidana tidak s</w:t>
      </w:r>
      <w:r w:rsidRPr="003D41D1">
        <w:rPr>
          <w:rFonts w:ascii="Times New Roman" w:hAnsi="Times New Roman"/>
          <w:bCs/>
          <w:color w:val="000000" w:themeColor="text1"/>
          <w:sz w:val="24"/>
          <w:szCs w:val="24"/>
        </w:rPr>
        <w:t xml:space="preserve">emata-mata bersandar pada ketentuan hukum </w:t>
      </w:r>
      <w:r w:rsidR="001A4A92">
        <w:rPr>
          <w:rFonts w:ascii="Times New Roman" w:hAnsi="Times New Roman"/>
          <w:bCs/>
          <w:color w:val="000000" w:themeColor="text1"/>
          <w:sz w:val="24"/>
          <w:szCs w:val="24"/>
        </w:rPr>
        <w:t>p</w:t>
      </w:r>
      <w:r w:rsidRPr="001A4A92">
        <w:rPr>
          <w:rFonts w:ascii="Times New Roman" w:hAnsi="Times New Roman"/>
          <w:bCs/>
          <w:color w:val="000000" w:themeColor="text1"/>
          <w:sz w:val="24"/>
          <w:szCs w:val="24"/>
        </w:rPr>
        <w:t xml:space="preserve">ositif, melainkan juga memperhatikan nilai-nilai </w:t>
      </w:r>
      <w:r w:rsidR="001A4A92">
        <w:rPr>
          <w:rFonts w:ascii="Times New Roman" w:hAnsi="Times New Roman"/>
          <w:bCs/>
          <w:color w:val="000000" w:themeColor="text1"/>
          <w:sz w:val="24"/>
          <w:szCs w:val="24"/>
        </w:rPr>
        <w:t>m</w:t>
      </w:r>
      <w:r w:rsidRPr="001A4A92">
        <w:rPr>
          <w:rFonts w:ascii="Times New Roman" w:hAnsi="Times New Roman"/>
          <w:bCs/>
          <w:color w:val="000000" w:themeColor="text1"/>
          <w:sz w:val="24"/>
          <w:szCs w:val="24"/>
        </w:rPr>
        <w:t>oral dan norma kesusilaan yang</w:t>
      </w:r>
      <w:r w:rsidR="001A4A92">
        <w:rPr>
          <w:rFonts w:ascii="Times New Roman" w:hAnsi="Times New Roman"/>
          <w:bCs/>
          <w:color w:val="000000" w:themeColor="text1"/>
          <w:sz w:val="24"/>
          <w:szCs w:val="24"/>
        </w:rPr>
        <w:t xml:space="preserve"> </w:t>
      </w:r>
      <w:r w:rsidRPr="001A4A92">
        <w:rPr>
          <w:rFonts w:ascii="Times New Roman" w:hAnsi="Times New Roman"/>
          <w:bCs/>
          <w:color w:val="000000" w:themeColor="text1"/>
          <w:sz w:val="24"/>
          <w:szCs w:val="24"/>
        </w:rPr>
        <w:t xml:space="preserve">berkembang dalam </w:t>
      </w:r>
      <w:r w:rsidR="005A6B97">
        <w:rPr>
          <w:rFonts w:ascii="Times New Roman" w:hAnsi="Times New Roman"/>
          <w:bCs/>
          <w:color w:val="000000" w:themeColor="text1"/>
          <w:sz w:val="24"/>
          <w:szCs w:val="24"/>
        </w:rPr>
        <w:t>masyarakat.</w:t>
      </w:r>
      <w:r w:rsidR="005A6B97">
        <w:rPr>
          <w:rStyle w:val="FootnoteReference"/>
          <w:rFonts w:ascii="Times New Roman" w:hAnsi="Times New Roman"/>
          <w:bCs/>
          <w:color w:val="000000" w:themeColor="text1"/>
          <w:sz w:val="24"/>
          <w:szCs w:val="24"/>
        </w:rPr>
        <w:footnoteReference w:id="13"/>
      </w:r>
      <w:r w:rsidR="005A6B97">
        <w:rPr>
          <w:rFonts w:ascii="Times New Roman" w:hAnsi="Times New Roman"/>
          <w:bCs/>
          <w:color w:val="000000" w:themeColor="text1"/>
          <w:sz w:val="24"/>
          <w:szCs w:val="24"/>
        </w:rPr>
        <w:t xml:space="preserve"> </w:t>
      </w:r>
      <w:r w:rsidRPr="001A4A92">
        <w:rPr>
          <w:rFonts w:ascii="Times New Roman" w:hAnsi="Times New Roman"/>
          <w:bCs/>
          <w:color w:val="000000" w:themeColor="text1"/>
          <w:sz w:val="24"/>
          <w:szCs w:val="24"/>
        </w:rPr>
        <w:t xml:space="preserve">Pertanggungjawaban pidana berfungsi sebagai sarana </w:t>
      </w:r>
      <w:r w:rsidR="001A4A92">
        <w:rPr>
          <w:rFonts w:ascii="Times New Roman" w:hAnsi="Times New Roman"/>
          <w:bCs/>
          <w:color w:val="000000" w:themeColor="text1"/>
          <w:sz w:val="24"/>
          <w:szCs w:val="24"/>
        </w:rPr>
        <w:t>u</w:t>
      </w:r>
      <w:r w:rsidRPr="001A4A92">
        <w:rPr>
          <w:rFonts w:ascii="Times New Roman" w:hAnsi="Times New Roman"/>
          <w:bCs/>
          <w:color w:val="000000" w:themeColor="text1"/>
          <w:sz w:val="24"/>
          <w:szCs w:val="24"/>
        </w:rPr>
        <w:t>ntuk menilai apakah seorang wajib pajak d</w:t>
      </w:r>
      <w:r w:rsidR="001A4A92">
        <w:rPr>
          <w:rFonts w:ascii="Times New Roman" w:hAnsi="Times New Roman"/>
          <w:bCs/>
          <w:color w:val="000000" w:themeColor="text1"/>
          <w:sz w:val="24"/>
          <w:szCs w:val="24"/>
        </w:rPr>
        <w:t xml:space="preserve">i </w:t>
      </w:r>
      <w:r w:rsidRPr="001A4A92">
        <w:rPr>
          <w:rFonts w:ascii="Times New Roman" w:hAnsi="Times New Roman"/>
          <w:bCs/>
          <w:color w:val="000000" w:themeColor="text1"/>
          <w:sz w:val="24"/>
          <w:szCs w:val="24"/>
        </w:rPr>
        <w:t xml:space="preserve">Indonesia telah melaksanakan kewajiban </w:t>
      </w:r>
      <w:r w:rsidR="00A44D46">
        <w:rPr>
          <w:rFonts w:ascii="Times New Roman" w:hAnsi="Times New Roman"/>
          <w:bCs/>
          <w:color w:val="000000" w:themeColor="text1"/>
          <w:sz w:val="24"/>
          <w:szCs w:val="24"/>
        </w:rPr>
        <w:t>p</w:t>
      </w:r>
      <w:r w:rsidRPr="00A44D46">
        <w:rPr>
          <w:rFonts w:ascii="Times New Roman" w:hAnsi="Times New Roman"/>
          <w:bCs/>
          <w:color w:val="000000" w:themeColor="text1"/>
          <w:sz w:val="24"/>
          <w:szCs w:val="24"/>
        </w:rPr>
        <w:t xml:space="preserve">erpajakannya sesuai dengan ketentuan peraturan </w:t>
      </w:r>
      <w:r w:rsidR="00A44D46">
        <w:rPr>
          <w:rFonts w:ascii="Times New Roman" w:hAnsi="Times New Roman"/>
          <w:bCs/>
          <w:color w:val="000000" w:themeColor="text1"/>
          <w:sz w:val="24"/>
          <w:szCs w:val="24"/>
        </w:rPr>
        <w:t>p</w:t>
      </w:r>
      <w:r w:rsidRPr="00A44D46">
        <w:rPr>
          <w:rFonts w:ascii="Times New Roman" w:hAnsi="Times New Roman"/>
          <w:bCs/>
          <w:color w:val="000000" w:themeColor="text1"/>
          <w:sz w:val="24"/>
          <w:szCs w:val="24"/>
        </w:rPr>
        <w:t xml:space="preserve">erundang-undangan yang </w:t>
      </w:r>
      <w:r w:rsidRPr="00A44D46">
        <w:rPr>
          <w:rFonts w:ascii="Times New Roman" w:hAnsi="Times New Roman"/>
          <w:bCs/>
          <w:color w:val="000000" w:themeColor="text1"/>
          <w:sz w:val="24"/>
          <w:szCs w:val="24"/>
        </w:rPr>
        <w:lastRenderedPageBreak/>
        <w:t>berlaku. Apabila</w:t>
      </w:r>
      <w:r w:rsidR="00A44D46">
        <w:rPr>
          <w:rFonts w:ascii="Times New Roman" w:hAnsi="Times New Roman"/>
          <w:bCs/>
          <w:color w:val="000000" w:themeColor="text1"/>
          <w:sz w:val="24"/>
          <w:szCs w:val="24"/>
        </w:rPr>
        <w:t xml:space="preserve"> k</w:t>
      </w:r>
      <w:r w:rsidRPr="00A44D46">
        <w:rPr>
          <w:rFonts w:ascii="Times New Roman" w:hAnsi="Times New Roman"/>
          <w:bCs/>
          <w:color w:val="000000" w:themeColor="text1"/>
          <w:sz w:val="24"/>
          <w:szCs w:val="24"/>
        </w:rPr>
        <w:t xml:space="preserve">ewajiban tersebut tidak dipenuhi, maka individu </w:t>
      </w:r>
      <w:r w:rsidR="00A44D46">
        <w:rPr>
          <w:rFonts w:ascii="Times New Roman" w:hAnsi="Times New Roman"/>
          <w:bCs/>
          <w:color w:val="000000" w:themeColor="text1"/>
          <w:sz w:val="24"/>
          <w:szCs w:val="24"/>
        </w:rPr>
        <w:t>te</w:t>
      </w:r>
      <w:r w:rsidRPr="00A44D46">
        <w:rPr>
          <w:rFonts w:ascii="Times New Roman" w:hAnsi="Times New Roman"/>
          <w:bCs/>
          <w:color w:val="000000" w:themeColor="text1"/>
          <w:sz w:val="24"/>
          <w:szCs w:val="24"/>
        </w:rPr>
        <w:t>rsebut dapat dikenai sanksi, baik dalam bentuk</w:t>
      </w:r>
      <w:r w:rsidR="00A44D46">
        <w:rPr>
          <w:rFonts w:ascii="Times New Roman" w:hAnsi="Times New Roman"/>
          <w:bCs/>
          <w:color w:val="000000" w:themeColor="text1"/>
          <w:sz w:val="24"/>
          <w:szCs w:val="24"/>
        </w:rPr>
        <w:t xml:space="preserve"> p</w:t>
      </w:r>
      <w:r w:rsidRPr="00A44D46">
        <w:rPr>
          <w:rFonts w:ascii="Times New Roman" w:hAnsi="Times New Roman"/>
          <w:bCs/>
          <w:color w:val="000000" w:themeColor="text1"/>
          <w:sz w:val="24"/>
          <w:szCs w:val="24"/>
        </w:rPr>
        <w:t xml:space="preserve">idana maupun sanksi administratif. Kewajiban </w:t>
      </w:r>
      <w:r w:rsidR="00A44D46">
        <w:rPr>
          <w:rFonts w:ascii="Times New Roman" w:hAnsi="Times New Roman"/>
          <w:bCs/>
          <w:color w:val="000000" w:themeColor="text1"/>
          <w:sz w:val="24"/>
          <w:szCs w:val="24"/>
        </w:rPr>
        <w:t>p</w:t>
      </w:r>
      <w:r w:rsidRPr="00A44D46">
        <w:rPr>
          <w:rFonts w:ascii="Times New Roman" w:hAnsi="Times New Roman"/>
          <w:bCs/>
          <w:color w:val="000000" w:themeColor="text1"/>
          <w:sz w:val="24"/>
          <w:szCs w:val="24"/>
        </w:rPr>
        <w:t xml:space="preserve">erpajakan memiliki peran yang krusial dan bersifat </w:t>
      </w:r>
      <w:r w:rsidR="00A44D46">
        <w:rPr>
          <w:rFonts w:ascii="Times New Roman" w:hAnsi="Times New Roman"/>
          <w:bCs/>
          <w:color w:val="000000" w:themeColor="text1"/>
          <w:sz w:val="24"/>
          <w:szCs w:val="24"/>
        </w:rPr>
        <w:t>m</w:t>
      </w:r>
      <w:r w:rsidRPr="00A44D46">
        <w:rPr>
          <w:rFonts w:ascii="Times New Roman" w:hAnsi="Times New Roman"/>
          <w:bCs/>
          <w:color w:val="000000" w:themeColor="text1"/>
          <w:sz w:val="24"/>
          <w:szCs w:val="24"/>
        </w:rPr>
        <w:t xml:space="preserve">engikat bagi setiap orang atau entitas usaha yang </w:t>
      </w:r>
      <w:r w:rsidR="00A44D46">
        <w:rPr>
          <w:rFonts w:ascii="Times New Roman" w:hAnsi="Times New Roman"/>
          <w:bCs/>
          <w:color w:val="000000" w:themeColor="text1"/>
          <w:sz w:val="24"/>
          <w:szCs w:val="24"/>
        </w:rPr>
        <w:t>t</w:t>
      </w:r>
      <w:r w:rsidRPr="00A44D46">
        <w:rPr>
          <w:rFonts w:ascii="Times New Roman" w:hAnsi="Times New Roman"/>
          <w:bCs/>
          <w:color w:val="000000" w:themeColor="text1"/>
          <w:sz w:val="24"/>
          <w:szCs w:val="24"/>
        </w:rPr>
        <w:t xml:space="preserve">elah memenuhi kriteria sebagai wajib pajak menurut </w:t>
      </w:r>
      <w:r w:rsidR="00A44D46">
        <w:rPr>
          <w:rFonts w:ascii="Times New Roman" w:hAnsi="Times New Roman"/>
          <w:bCs/>
          <w:color w:val="000000" w:themeColor="text1"/>
          <w:sz w:val="24"/>
          <w:szCs w:val="24"/>
        </w:rPr>
        <w:t>h</w:t>
      </w:r>
      <w:r w:rsidRPr="00A44D46">
        <w:rPr>
          <w:rFonts w:ascii="Times New Roman" w:hAnsi="Times New Roman"/>
          <w:bCs/>
          <w:color w:val="000000" w:themeColor="text1"/>
          <w:sz w:val="24"/>
          <w:szCs w:val="24"/>
        </w:rPr>
        <w:t>ukum. Pelanggaran terhadap ketentuan di bidang</w:t>
      </w:r>
      <w:r w:rsidR="00A44D46">
        <w:rPr>
          <w:rFonts w:ascii="Times New Roman" w:hAnsi="Times New Roman"/>
          <w:bCs/>
          <w:color w:val="000000" w:themeColor="text1"/>
          <w:sz w:val="24"/>
          <w:szCs w:val="24"/>
        </w:rPr>
        <w:t xml:space="preserve"> p</w:t>
      </w:r>
      <w:r w:rsidRPr="00A44D46">
        <w:rPr>
          <w:rFonts w:ascii="Times New Roman" w:hAnsi="Times New Roman"/>
          <w:bCs/>
          <w:color w:val="000000" w:themeColor="text1"/>
          <w:sz w:val="24"/>
          <w:szCs w:val="24"/>
        </w:rPr>
        <w:t xml:space="preserve">erpajakan dikategorikan sebagai tindak pidana </w:t>
      </w:r>
      <w:r w:rsidR="00A44D46">
        <w:rPr>
          <w:rFonts w:ascii="Times New Roman" w:hAnsi="Times New Roman"/>
          <w:bCs/>
          <w:color w:val="000000" w:themeColor="text1"/>
          <w:sz w:val="24"/>
          <w:szCs w:val="24"/>
        </w:rPr>
        <w:t>p</w:t>
      </w:r>
      <w:r w:rsidRPr="00A44D46">
        <w:rPr>
          <w:rFonts w:ascii="Times New Roman" w:hAnsi="Times New Roman"/>
          <w:bCs/>
          <w:color w:val="000000" w:themeColor="text1"/>
          <w:sz w:val="24"/>
          <w:szCs w:val="24"/>
        </w:rPr>
        <w:t xml:space="preserve">erpajakan, yang mencakup berbagai bentuk </w:t>
      </w:r>
      <w:r w:rsidR="00A44D46">
        <w:rPr>
          <w:rFonts w:ascii="Times New Roman" w:hAnsi="Times New Roman"/>
          <w:bCs/>
          <w:color w:val="000000" w:themeColor="text1"/>
          <w:sz w:val="24"/>
          <w:szCs w:val="24"/>
        </w:rPr>
        <w:t>p</w:t>
      </w:r>
      <w:r w:rsidRPr="00A44D46">
        <w:rPr>
          <w:rFonts w:ascii="Times New Roman" w:hAnsi="Times New Roman"/>
          <w:bCs/>
          <w:color w:val="000000" w:themeColor="text1"/>
          <w:sz w:val="24"/>
          <w:szCs w:val="24"/>
        </w:rPr>
        <w:t xml:space="preserve">elanggaran hukum dalam sektor ini dan dapat </w:t>
      </w:r>
      <w:r w:rsidR="00A44D46">
        <w:rPr>
          <w:rFonts w:ascii="Times New Roman" w:hAnsi="Times New Roman"/>
          <w:bCs/>
          <w:color w:val="000000" w:themeColor="text1"/>
          <w:sz w:val="24"/>
          <w:szCs w:val="24"/>
        </w:rPr>
        <w:t>d</w:t>
      </w:r>
      <w:r w:rsidRPr="00A44D46">
        <w:rPr>
          <w:rFonts w:ascii="Times New Roman" w:hAnsi="Times New Roman"/>
          <w:bCs/>
          <w:color w:val="000000" w:themeColor="text1"/>
          <w:sz w:val="24"/>
          <w:szCs w:val="24"/>
        </w:rPr>
        <w:t xml:space="preserve">ikenai hukuman pidana berdasarkan ketentuan </w:t>
      </w:r>
      <w:r w:rsidR="00A44D46">
        <w:rPr>
          <w:rFonts w:ascii="Times New Roman" w:hAnsi="Times New Roman"/>
          <w:bCs/>
          <w:color w:val="000000" w:themeColor="text1"/>
          <w:sz w:val="24"/>
          <w:szCs w:val="24"/>
        </w:rPr>
        <w:t>p</w:t>
      </w:r>
      <w:r w:rsidRPr="00A44D46">
        <w:rPr>
          <w:rFonts w:ascii="Times New Roman" w:hAnsi="Times New Roman"/>
          <w:bCs/>
          <w:color w:val="000000" w:themeColor="text1"/>
          <w:sz w:val="24"/>
          <w:szCs w:val="24"/>
        </w:rPr>
        <w:t>eraturan perpajakan di Indonesia.</w:t>
      </w:r>
    </w:p>
    <w:p w14:paraId="7A656508" w14:textId="2F2A8C25" w:rsidR="00CD6463" w:rsidRDefault="00B01F72" w:rsidP="00D962F1">
      <w:pPr>
        <w:pStyle w:val="ListParagraph"/>
        <w:spacing w:after="0" w:line="36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Indonesia sebagai salah satu negara hukum,</w:t>
      </w:r>
      <w:r w:rsidR="00CD6463">
        <w:rPr>
          <w:rFonts w:ascii="Times New Roman" w:hAnsi="Times New Roman"/>
          <w:bCs/>
          <w:color w:val="000000" w:themeColor="text1"/>
          <w:sz w:val="24"/>
          <w:szCs w:val="24"/>
        </w:rPr>
        <w:t xml:space="preserve"> m</w:t>
      </w:r>
      <w:r w:rsidRPr="00CD6463">
        <w:rPr>
          <w:rFonts w:ascii="Times New Roman" w:hAnsi="Times New Roman"/>
          <w:bCs/>
          <w:color w:val="000000" w:themeColor="text1"/>
          <w:sz w:val="24"/>
          <w:szCs w:val="24"/>
        </w:rPr>
        <w:t>enganut (3) tiga sistem</w:t>
      </w:r>
      <w:r w:rsidR="00CD6463">
        <w:rPr>
          <w:rFonts w:ascii="Times New Roman" w:hAnsi="Times New Roman"/>
          <w:bCs/>
          <w:color w:val="000000" w:themeColor="text1"/>
          <w:sz w:val="24"/>
          <w:szCs w:val="24"/>
        </w:rPr>
        <w:t xml:space="preserve"> </w:t>
      </w:r>
      <w:r w:rsidRPr="00CD6463">
        <w:rPr>
          <w:rFonts w:ascii="Times New Roman" w:hAnsi="Times New Roman"/>
          <w:bCs/>
          <w:color w:val="000000" w:themeColor="text1"/>
          <w:sz w:val="24"/>
          <w:szCs w:val="24"/>
        </w:rPr>
        <w:t xml:space="preserve">pertanggungjawaban </w:t>
      </w:r>
      <w:r w:rsidR="00CD6463">
        <w:rPr>
          <w:rFonts w:ascii="Times New Roman" w:hAnsi="Times New Roman"/>
          <w:bCs/>
          <w:color w:val="000000" w:themeColor="text1"/>
          <w:sz w:val="24"/>
          <w:szCs w:val="24"/>
        </w:rPr>
        <w:t>k</w:t>
      </w:r>
      <w:r w:rsidRPr="00CD6463">
        <w:rPr>
          <w:rFonts w:ascii="Times New Roman" w:hAnsi="Times New Roman"/>
          <w:bCs/>
          <w:color w:val="000000" w:themeColor="text1"/>
          <w:sz w:val="24"/>
          <w:szCs w:val="24"/>
        </w:rPr>
        <w:t>orporasi sebagai salah satu subjek tindak pidana,</w:t>
      </w:r>
      <w:r w:rsidR="00CD6463">
        <w:rPr>
          <w:rFonts w:ascii="Times New Roman" w:hAnsi="Times New Roman"/>
          <w:bCs/>
          <w:color w:val="000000" w:themeColor="text1"/>
          <w:sz w:val="24"/>
          <w:szCs w:val="24"/>
        </w:rPr>
        <w:t xml:space="preserve"> y</w:t>
      </w:r>
      <w:r w:rsidRPr="00CD6463">
        <w:rPr>
          <w:rFonts w:ascii="Times New Roman" w:hAnsi="Times New Roman"/>
          <w:bCs/>
          <w:color w:val="000000" w:themeColor="text1"/>
          <w:sz w:val="24"/>
          <w:szCs w:val="24"/>
        </w:rPr>
        <w:t>aitu</w:t>
      </w:r>
      <w:r w:rsidR="005A6B97">
        <w:rPr>
          <w:rFonts w:ascii="Times New Roman" w:hAnsi="Times New Roman"/>
          <w:bCs/>
          <w:color w:val="000000" w:themeColor="text1"/>
          <w:sz w:val="24"/>
          <w:szCs w:val="24"/>
        </w:rPr>
        <w:t>:</w:t>
      </w:r>
      <w:r w:rsidR="005A6B97">
        <w:rPr>
          <w:rStyle w:val="FootnoteReference"/>
          <w:rFonts w:ascii="Times New Roman" w:hAnsi="Times New Roman"/>
          <w:bCs/>
          <w:color w:val="000000" w:themeColor="text1"/>
          <w:sz w:val="24"/>
          <w:szCs w:val="24"/>
        </w:rPr>
        <w:footnoteReference w:id="14"/>
      </w:r>
    </w:p>
    <w:p w14:paraId="0F5D9206" w14:textId="2934894D" w:rsidR="00CD6463" w:rsidRDefault="00B01F72" w:rsidP="009B6CDE">
      <w:pPr>
        <w:pStyle w:val="ListParagraph"/>
        <w:numPr>
          <w:ilvl w:val="0"/>
          <w:numId w:val="13"/>
        </w:numPr>
        <w:spacing w:after="0" w:line="360" w:lineRule="auto"/>
        <w:jc w:val="both"/>
        <w:rPr>
          <w:rFonts w:ascii="Times New Roman" w:hAnsi="Times New Roman"/>
          <w:bCs/>
          <w:color w:val="000000" w:themeColor="text1"/>
          <w:sz w:val="24"/>
          <w:szCs w:val="24"/>
        </w:rPr>
      </w:pPr>
      <w:r w:rsidRPr="00CD6463">
        <w:rPr>
          <w:rFonts w:ascii="Times New Roman" w:hAnsi="Times New Roman"/>
          <w:bCs/>
          <w:color w:val="000000" w:themeColor="text1"/>
          <w:sz w:val="24"/>
          <w:szCs w:val="24"/>
        </w:rPr>
        <w:t>Pengurus korporasi sebagai pembuat dan</w:t>
      </w:r>
      <w:r w:rsidR="00CD6463">
        <w:rPr>
          <w:rFonts w:ascii="Times New Roman" w:hAnsi="Times New Roman"/>
          <w:bCs/>
          <w:color w:val="000000" w:themeColor="text1"/>
          <w:sz w:val="24"/>
          <w:szCs w:val="24"/>
        </w:rPr>
        <w:t xml:space="preserve"> </w:t>
      </w:r>
      <w:r w:rsidR="00B365A4">
        <w:rPr>
          <w:rFonts w:ascii="Times New Roman" w:hAnsi="Times New Roman"/>
          <w:bCs/>
          <w:color w:val="000000" w:themeColor="text1"/>
          <w:sz w:val="24"/>
          <w:szCs w:val="24"/>
        </w:rPr>
        <w:t>p</w:t>
      </w:r>
      <w:r w:rsidRPr="00CD6463">
        <w:rPr>
          <w:rFonts w:ascii="Times New Roman" w:hAnsi="Times New Roman"/>
          <w:bCs/>
          <w:color w:val="000000" w:themeColor="text1"/>
          <w:sz w:val="24"/>
          <w:szCs w:val="24"/>
        </w:rPr>
        <w:t>enanggungjawab</w:t>
      </w:r>
    </w:p>
    <w:p w14:paraId="43A879A3" w14:textId="77777777" w:rsidR="006A0F1F" w:rsidRDefault="00B01F72" w:rsidP="009B6CDE">
      <w:pPr>
        <w:pStyle w:val="ListParagraph"/>
        <w:spacing w:after="0" w:line="360" w:lineRule="auto"/>
        <w:ind w:left="1440"/>
        <w:jc w:val="both"/>
        <w:rPr>
          <w:rFonts w:ascii="Times New Roman" w:hAnsi="Times New Roman"/>
          <w:bCs/>
          <w:color w:val="000000" w:themeColor="text1"/>
          <w:sz w:val="24"/>
          <w:szCs w:val="24"/>
        </w:rPr>
      </w:pPr>
      <w:r w:rsidRPr="00CD6463">
        <w:rPr>
          <w:rFonts w:ascii="Times New Roman" w:hAnsi="Times New Roman"/>
          <w:bCs/>
          <w:color w:val="000000" w:themeColor="text1"/>
          <w:sz w:val="24"/>
          <w:szCs w:val="24"/>
        </w:rPr>
        <w:t xml:space="preserve">Dalam hal korporasi melakukan tindak </w:t>
      </w:r>
      <w:r w:rsidR="0043520D">
        <w:rPr>
          <w:rFonts w:ascii="Times New Roman" w:hAnsi="Times New Roman"/>
          <w:bCs/>
          <w:color w:val="000000" w:themeColor="text1"/>
          <w:sz w:val="24"/>
          <w:szCs w:val="24"/>
        </w:rPr>
        <w:t>p</w:t>
      </w:r>
      <w:r w:rsidRPr="00CD6463">
        <w:rPr>
          <w:rFonts w:ascii="Times New Roman" w:hAnsi="Times New Roman"/>
          <w:bCs/>
          <w:color w:val="000000" w:themeColor="text1"/>
          <w:sz w:val="24"/>
          <w:szCs w:val="24"/>
        </w:rPr>
        <w:t>idana, maka yang dianggap sebagai pelaku</w:t>
      </w:r>
      <w:r w:rsidR="0043520D">
        <w:rPr>
          <w:rFonts w:ascii="Times New Roman" w:hAnsi="Times New Roman"/>
          <w:bCs/>
          <w:color w:val="000000" w:themeColor="text1"/>
          <w:sz w:val="24"/>
          <w:szCs w:val="24"/>
        </w:rPr>
        <w:t xml:space="preserve"> a</w:t>
      </w:r>
      <w:r w:rsidRPr="0043520D">
        <w:rPr>
          <w:rFonts w:ascii="Times New Roman" w:hAnsi="Times New Roman"/>
          <w:bCs/>
          <w:color w:val="000000" w:themeColor="text1"/>
          <w:sz w:val="24"/>
          <w:szCs w:val="24"/>
        </w:rPr>
        <w:t xml:space="preserve">dalah pengurus korporasi tersebut, karena </w:t>
      </w:r>
      <w:r w:rsidR="0043520D">
        <w:rPr>
          <w:rFonts w:ascii="Times New Roman" w:hAnsi="Times New Roman"/>
          <w:bCs/>
          <w:color w:val="000000" w:themeColor="text1"/>
          <w:sz w:val="24"/>
          <w:szCs w:val="24"/>
        </w:rPr>
        <w:t>m</w:t>
      </w:r>
      <w:r w:rsidRPr="0043520D">
        <w:rPr>
          <w:rFonts w:ascii="Times New Roman" w:hAnsi="Times New Roman"/>
          <w:bCs/>
          <w:color w:val="000000" w:themeColor="text1"/>
          <w:sz w:val="24"/>
          <w:szCs w:val="24"/>
        </w:rPr>
        <w:t xml:space="preserve">erekalah yang menjalankan dan </w:t>
      </w:r>
      <w:r w:rsidR="0043520D">
        <w:rPr>
          <w:rFonts w:ascii="Times New Roman" w:hAnsi="Times New Roman"/>
          <w:bCs/>
          <w:color w:val="000000" w:themeColor="text1"/>
          <w:sz w:val="24"/>
          <w:szCs w:val="24"/>
        </w:rPr>
        <w:t>m</w:t>
      </w:r>
      <w:r w:rsidRPr="0043520D">
        <w:rPr>
          <w:rFonts w:ascii="Times New Roman" w:hAnsi="Times New Roman"/>
          <w:bCs/>
          <w:color w:val="000000" w:themeColor="text1"/>
          <w:sz w:val="24"/>
          <w:szCs w:val="24"/>
        </w:rPr>
        <w:t xml:space="preserve">engambil keputusan atas nama </w:t>
      </w:r>
      <w:r w:rsidR="0043520D">
        <w:rPr>
          <w:rFonts w:ascii="Times New Roman" w:hAnsi="Times New Roman"/>
          <w:bCs/>
          <w:color w:val="000000" w:themeColor="text1"/>
          <w:sz w:val="24"/>
          <w:szCs w:val="24"/>
        </w:rPr>
        <w:t>p</w:t>
      </w:r>
      <w:r w:rsidRPr="0043520D">
        <w:rPr>
          <w:rFonts w:ascii="Times New Roman" w:hAnsi="Times New Roman"/>
          <w:bCs/>
          <w:color w:val="000000" w:themeColor="text1"/>
          <w:sz w:val="24"/>
          <w:szCs w:val="24"/>
        </w:rPr>
        <w:t xml:space="preserve">erusahaan. Oleh karena itu, tanggung </w:t>
      </w:r>
      <w:r w:rsidR="0043520D">
        <w:rPr>
          <w:rFonts w:ascii="Times New Roman" w:hAnsi="Times New Roman"/>
          <w:bCs/>
          <w:color w:val="000000" w:themeColor="text1"/>
          <w:sz w:val="24"/>
          <w:szCs w:val="24"/>
        </w:rPr>
        <w:t>j</w:t>
      </w:r>
      <w:r w:rsidRPr="0043520D">
        <w:rPr>
          <w:rFonts w:ascii="Times New Roman" w:hAnsi="Times New Roman"/>
          <w:bCs/>
          <w:color w:val="000000" w:themeColor="text1"/>
          <w:sz w:val="24"/>
          <w:szCs w:val="24"/>
        </w:rPr>
        <w:t xml:space="preserve">awab pidana dibebankan kepada pengurus. Pendekatan ini menunjukkan adanya </w:t>
      </w:r>
      <w:r w:rsidR="0043520D">
        <w:rPr>
          <w:rFonts w:ascii="Times New Roman" w:hAnsi="Times New Roman"/>
          <w:bCs/>
          <w:color w:val="000000" w:themeColor="text1"/>
          <w:sz w:val="24"/>
          <w:szCs w:val="24"/>
        </w:rPr>
        <w:t>k</w:t>
      </w:r>
      <w:r w:rsidRPr="0043520D">
        <w:rPr>
          <w:rFonts w:ascii="Times New Roman" w:hAnsi="Times New Roman"/>
          <w:bCs/>
          <w:color w:val="000000" w:themeColor="text1"/>
          <w:sz w:val="24"/>
          <w:szCs w:val="24"/>
        </w:rPr>
        <w:t xml:space="preserve">ecenderungan untuk membatasi </w:t>
      </w:r>
      <w:r w:rsidR="006A0F1F">
        <w:rPr>
          <w:rFonts w:ascii="Times New Roman" w:hAnsi="Times New Roman"/>
          <w:bCs/>
          <w:color w:val="000000" w:themeColor="text1"/>
          <w:sz w:val="24"/>
          <w:szCs w:val="24"/>
        </w:rPr>
        <w:t>p</w:t>
      </w:r>
      <w:r w:rsidRPr="006A0F1F">
        <w:rPr>
          <w:rFonts w:ascii="Times New Roman" w:hAnsi="Times New Roman"/>
          <w:bCs/>
          <w:color w:val="000000" w:themeColor="text1"/>
          <w:sz w:val="24"/>
          <w:szCs w:val="24"/>
        </w:rPr>
        <w:t xml:space="preserve">ertanggungjawaban pidana korporasi hanya </w:t>
      </w:r>
      <w:r w:rsidR="006A0F1F">
        <w:rPr>
          <w:rFonts w:ascii="Times New Roman" w:hAnsi="Times New Roman"/>
          <w:bCs/>
          <w:color w:val="000000" w:themeColor="text1"/>
          <w:sz w:val="24"/>
          <w:szCs w:val="24"/>
        </w:rPr>
        <w:t>p</w:t>
      </w:r>
      <w:r w:rsidRPr="006A0F1F">
        <w:rPr>
          <w:rFonts w:ascii="Times New Roman" w:hAnsi="Times New Roman"/>
          <w:bCs/>
          <w:color w:val="000000" w:themeColor="text1"/>
          <w:sz w:val="24"/>
          <w:szCs w:val="24"/>
        </w:rPr>
        <w:t xml:space="preserve">ada individu (natuurlijk persoon) yang </w:t>
      </w:r>
      <w:r w:rsidR="006A0F1F">
        <w:rPr>
          <w:rFonts w:ascii="Times New Roman" w:hAnsi="Times New Roman"/>
          <w:bCs/>
          <w:color w:val="000000" w:themeColor="text1"/>
          <w:sz w:val="24"/>
          <w:szCs w:val="24"/>
        </w:rPr>
        <w:t>t</w:t>
      </w:r>
      <w:r w:rsidRPr="006A0F1F">
        <w:rPr>
          <w:rFonts w:ascii="Times New Roman" w:hAnsi="Times New Roman"/>
          <w:bCs/>
          <w:color w:val="000000" w:themeColor="text1"/>
          <w:sz w:val="24"/>
          <w:szCs w:val="24"/>
        </w:rPr>
        <w:t xml:space="preserve">erlibat langsung. Dengan demikian, apabila </w:t>
      </w:r>
      <w:r w:rsidR="006A0F1F">
        <w:rPr>
          <w:rFonts w:ascii="Times New Roman" w:hAnsi="Times New Roman"/>
          <w:bCs/>
          <w:color w:val="000000" w:themeColor="text1"/>
          <w:sz w:val="24"/>
          <w:szCs w:val="24"/>
        </w:rPr>
        <w:t>t</w:t>
      </w:r>
      <w:r w:rsidRPr="006A0F1F">
        <w:rPr>
          <w:rFonts w:ascii="Times New Roman" w:hAnsi="Times New Roman"/>
          <w:bCs/>
          <w:color w:val="000000" w:themeColor="text1"/>
          <w:sz w:val="24"/>
          <w:szCs w:val="24"/>
        </w:rPr>
        <w:t xml:space="preserve">erjadi pelanggaran hukum dalam lingkup </w:t>
      </w:r>
      <w:r w:rsidR="006A0F1F">
        <w:rPr>
          <w:rFonts w:ascii="Times New Roman" w:hAnsi="Times New Roman"/>
          <w:bCs/>
          <w:color w:val="000000" w:themeColor="text1"/>
          <w:sz w:val="24"/>
          <w:szCs w:val="24"/>
        </w:rPr>
        <w:t>k</w:t>
      </w:r>
      <w:r w:rsidRPr="006A0F1F">
        <w:rPr>
          <w:rFonts w:ascii="Times New Roman" w:hAnsi="Times New Roman"/>
          <w:bCs/>
          <w:color w:val="000000" w:themeColor="text1"/>
          <w:sz w:val="24"/>
          <w:szCs w:val="24"/>
        </w:rPr>
        <w:t xml:space="preserve">egiatan korporasi, perbuatan tersebut </w:t>
      </w:r>
      <w:r w:rsidR="006A0F1F">
        <w:rPr>
          <w:rFonts w:ascii="Times New Roman" w:hAnsi="Times New Roman"/>
          <w:bCs/>
          <w:color w:val="000000" w:themeColor="text1"/>
          <w:sz w:val="24"/>
          <w:szCs w:val="24"/>
        </w:rPr>
        <w:t>d</w:t>
      </w:r>
      <w:r w:rsidRPr="006A0F1F">
        <w:rPr>
          <w:rFonts w:ascii="Times New Roman" w:hAnsi="Times New Roman"/>
          <w:bCs/>
          <w:color w:val="000000" w:themeColor="text1"/>
          <w:sz w:val="24"/>
          <w:szCs w:val="24"/>
        </w:rPr>
        <w:t xml:space="preserve">ipandang sebagai perbuatan pengurusnya. Sistem ini menekankan pemisahan antara </w:t>
      </w:r>
      <w:r w:rsidR="006A0F1F">
        <w:rPr>
          <w:rFonts w:ascii="Times New Roman" w:hAnsi="Times New Roman"/>
          <w:bCs/>
          <w:color w:val="000000" w:themeColor="text1"/>
          <w:sz w:val="24"/>
          <w:szCs w:val="24"/>
        </w:rPr>
        <w:t>t</w:t>
      </w:r>
      <w:r w:rsidRPr="006A0F1F">
        <w:rPr>
          <w:rFonts w:ascii="Times New Roman" w:hAnsi="Times New Roman"/>
          <w:bCs/>
          <w:color w:val="000000" w:themeColor="text1"/>
          <w:sz w:val="24"/>
          <w:szCs w:val="24"/>
        </w:rPr>
        <w:t xml:space="preserve">anggung jawab korporasi sebagai badan </w:t>
      </w:r>
      <w:r w:rsidR="006A0F1F">
        <w:rPr>
          <w:rFonts w:ascii="Times New Roman" w:hAnsi="Times New Roman"/>
          <w:bCs/>
          <w:color w:val="000000" w:themeColor="text1"/>
          <w:sz w:val="24"/>
          <w:szCs w:val="24"/>
        </w:rPr>
        <w:t>h</w:t>
      </w:r>
      <w:r w:rsidRPr="006A0F1F">
        <w:rPr>
          <w:rFonts w:ascii="Times New Roman" w:hAnsi="Times New Roman"/>
          <w:bCs/>
          <w:color w:val="000000" w:themeColor="text1"/>
          <w:sz w:val="24"/>
          <w:szCs w:val="24"/>
        </w:rPr>
        <w:t xml:space="preserve">ukum dan tindakan para pengurus sebagai </w:t>
      </w:r>
      <w:r w:rsidR="006A0F1F">
        <w:rPr>
          <w:rFonts w:ascii="Times New Roman" w:hAnsi="Times New Roman"/>
          <w:bCs/>
          <w:color w:val="000000" w:themeColor="text1"/>
          <w:sz w:val="24"/>
          <w:szCs w:val="24"/>
        </w:rPr>
        <w:t>p</w:t>
      </w:r>
      <w:r w:rsidRPr="006A0F1F">
        <w:rPr>
          <w:rFonts w:ascii="Times New Roman" w:hAnsi="Times New Roman"/>
          <w:bCs/>
          <w:color w:val="000000" w:themeColor="text1"/>
          <w:sz w:val="24"/>
          <w:szCs w:val="24"/>
        </w:rPr>
        <w:t>elaksananya.</w:t>
      </w:r>
    </w:p>
    <w:p w14:paraId="39E14D62" w14:textId="77777777" w:rsidR="00B365A4" w:rsidRDefault="00B01F72" w:rsidP="009B6CDE">
      <w:pPr>
        <w:pStyle w:val="ListParagraph"/>
        <w:numPr>
          <w:ilvl w:val="0"/>
          <w:numId w:val="13"/>
        </w:numPr>
        <w:spacing w:after="0" w:line="360" w:lineRule="auto"/>
        <w:jc w:val="both"/>
        <w:rPr>
          <w:rFonts w:ascii="Times New Roman" w:hAnsi="Times New Roman"/>
          <w:bCs/>
          <w:color w:val="000000" w:themeColor="text1"/>
          <w:sz w:val="24"/>
          <w:szCs w:val="24"/>
        </w:rPr>
      </w:pPr>
      <w:r w:rsidRPr="006A0F1F">
        <w:rPr>
          <w:rFonts w:ascii="Times New Roman" w:hAnsi="Times New Roman"/>
          <w:bCs/>
          <w:color w:val="000000" w:themeColor="text1"/>
          <w:sz w:val="24"/>
          <w:szCs w:val="24"/>
        </w:rPr>
        <w:t>Korporasi sebagai pembuat dan pengurus Sebagai penanggungjawab</w:t>
      </w:r>
    </w:p>
    <w:p w14:paraId="21F6426B" w14:textId="51B243F2" w:rsidR="002B3A3A" w:rsidRDefault="00B01F72" w:rsidP="009B6CDE">
      <w:pPr>
        <w:pStyle w:val="ListParagraph"/>
        <w:spacing w:after="0" w:line="360" w:lineRule="auto"/>
        <w:ind w:left="1440"/>
        <w:jc w:val="both"/>
        <w:rPr>
          <w:rFonts w:ascii="Times New Roman" w:hAnsi="Times New Roman"/>
          <w:bCs/>
          <w:color w:val="000000" w:themeColor="text1"/>
          <w:sz w:val="24"/>
          <w:szCs w:val="24"/>
        </w:rPr>
      </w:pPr>
      <w:r w:rsidRPr="00B365A4">
        <w:rPr>
          <w:rFonts w:ascii="Times New Roman" w:hAnsi="Times New Roman"/>
          <w:bCs/>
          <w:color w:val="000000" w:themeColor="text1"/>
          <w:sz w:val="24"/>
          <w:szCs w:val="24"/>
        </w:rPr>
        <w:t xml:space="preserve">Ketika korporasi dianggap sebagai pelaku </w:t>
      </w:r>
      <w:r w:rsidR="00B365A4">
        <w:rPr>
          <w:rFonts w:ascii="Times New Roman" w:hAnsi="Times New Roman"/>
          <w:bCs/>
          <w:color w:val="000000" w:themeColor="text1"/>
          <w:sz w:val="24"/>
          <w:szCs w:val="24"/>
        </w:rPr>
        <w:t>t</w:t>
      </w:r>
      <w:r w:rsidRPr="00B365A4">
        <w:rPr>
          <w:rFonts w:ascii="Times New Roman" w:hAnsi="Times New Roman"/>
          <w:bCs/>
          <w:color w:val="000000" w:themeColor="text1"/>
          <w:sz w:val="24"/>
          <w:szCs w:val="24"/>
        </w:rPr>
        <w:t xml:space="preserve">indak pidana, maka yang memikul </w:t>
      </w:r>
      <w:r w:rsidR="00B365A4">
        <w:rPr>
          <w:rFonts w:ascii="Times New Roman" w:hAnsi="Times New Roman"/>
          <w:bCs/>
          <w:color w:val="000000" w:themeColor="text1"/>
          <w:sz w:val="24"/>
          <w:szCs w:val="24"/>
        </w:rPr>
        <w:t>t</w:t>
      </w:r>
      <w:r w:rsidRPr="00B365A4">
        <w:rPr>
          <w:rFonts w:ascii="Times New Roman" w:hAnsi="Times New Roman"/>
          <w:bCs/>
          <w:color w:val="000000" w:themeColor="text1"/>
          <w:sz w:val="24"/>
          <w:szCs w:val="24"/>
        </w:rPr>
        <w:t xml:space="preserve">anggung jawab pidana adalah para </w:t>
      </w:r>
      <w:r w:rsidR="00B365A4">
        <w:rPr>
          <w:rFonts w:ascii="Times New Roman" w:hAnsi="Times New Roman"/>
          <w:bCs/>
          <w:color w:val="000000" w:themeColor="text1"/>
          <w:sz w:val="24"/>
          <w:szCs w:val="24"/>
        </w:rPr>
        <w:t>p</w:t>
      </w:r>
      <w:r w:rsidRPr="00B365A4">
        <w:rPr>
          <w:rFonts w:ascii="Times New Roman" w:hAnsi="Times New Roman"/>
          <w:bCs/>
          <w:color w:val="000000" w:themeColor="text1"/>
          <w:sz w:val="24"/>
          <w:szCs w:val="24"/>
        </w:rPr>
        <w:t xml:space="preserve">engurusnya. Sistem pertanggungjawaban </w:t>
      </w:r>
      <w:r w:rsidR="00B365A4">
        <w:rPr>
          <w:rFonts w:ascii="Times New Roman" w:hAnsi="Times New Roman"/>
          <w:bCs/>
          <w:color w:val="000000" w:themeColor="text1"/>
          <w:sz w:val="24"/>
          <w:szCs w:val="24"/>
        </w:rPr>
        <w:t>k</w:t>
      </w:r>
      <w:r w:rsidRPr="00B365A4">
        <w:rPr>
          <w:rFonts w:ascii="Times New Roman" w:hAnsi="Times New Roman"/>
          <w:bCs/>
          <w:color w:val="000000" w:themeColor="text1"/>
          <w:sz w:val="24"/>
          <w:szCs w:val="24"/>
        </w:rPr>
        <w:t xml:space="preserve">orporasi yang kedua ini muncul dari </w:t>
      </w:r>
      <w:r w:rsidR="00437AAA">
        <w:rPr>
          <w:rFonts w:ascii="Times New Roman" w:hAnsi="Times New Roman"/>
          <w:bCs/>
          <w:color w:val="000000" w:themeColor="text1"/>
          <w:sz w:val="24"/>
          <w:szCs w:val="24"/>
        </w:rPr>
        <w:t>p</w:t>
      </w:r>
      <w:r w:rsidRPr="00437AAA">
        <w:rPr>
          <w:rFonts w:ascii="Times New Roman" w:hAnsi="Times New Roman"/>
          <w:bCs/>
          <w:color w:val="000000" w:themeColor="text1"/>
          <w:sz w:val="24"/>
          <w:szCs w:val="24"/>
        </w:rPr>
        <w:t>engakuan dalam peraturan perundang-</w:t>
      </w:r>
      <w:r w:rsidR="00437AAA">
        <w:rPr>
          <w:rFonts w:ascii="Times New Roman" w:hAnsi="Times New Roman"/>
          <w:bCs/>
          <w:color w:val="000000" w:themeColor="text1"/>
          <w:sz w:val="24"/>
          <w:szCs w:val="24"/>
        </w:rPr>
        <w:t>u</w:t>
      </w:r>
      <w:r w:rsidRPr="00437AAA">
        <w:rPr>
          <w:rFonts w:ascii="Times New Roman" w:hAnsi="Times New Roman"/>
          <w:bCs/>
          <w:color w:val="000000" w:themeColor="text1"/>
          <w:sz w:val="24"/>
          <w:szCs w:val="24"/>
        </w:rPr>
        <w:t xml:space="preserve">ndangan bahwa suatu tindak pidana dapat </w:t>
      </w:r>
      <w:r w:rsidR="00437AAA">
        <w:rPr>
          <w:rFonts w:ascii="Times New Roman" w:hAnsi="Times New Roman"/>
          <w:bCs/>
          <w:color w:val="000000" w:themeColor="text1"/>
          <w:sz w:val="24"/>
          <w:szCs w:val="24"/>
        </w:rPr>
        <w:t>d</w:t>
      </w:r>
      <w:r w:rsidRPr="00437AAA">
        <w:rPr>
          <w:rFonts w:ascii="Times New Roman" w:hAnsi="Times New Roman"/>
          <w:bCs/>
          <w:color w:val="000000" w:themeColor="text1"/>
          <w:sz w:val="24"/>
          <w:szCs w:val="24"/>
        </w:rPr>
        <w:t xml:space="preserve">ilakukan oleh badan usaha atau </w:t>
      </w:r>
      <w:r w:rsidR="00437AAA">
        <w:rPr>
          <w:rFonts w:ascii="Times New Roman" w:hAnsi="Times New Roman"/>
          <w:bCs/>
          <w:color w:val="000000" w:themeColor="text1"/>
          <w:sz w:val="24"/>
          <w:szCs w:val="24"/>
        </w:rPr>
        <w:t>p</w:t>
      </w:r>
      <w:r w:rsidRPr="00437AAA">
        <w:rPr>
          <w:rFonts w:ascii="Times New Roman" w:hAnsi="Times New Roman"/>
          <w:bCs/>
          <w:color w:val="000000" w:themeColor="text1"/>
          <w:sz w:val="24"/>
          <w:szCs w:val="24"/>
        </w:rPr>
        <w:t>erserikatan. Namun, beban</w:t>
      </w:r>
      <w:r w:rsidR="00437AAA">
        <w:rPr>
          <w:rFonts w:ascii="Times New Roman" w:hAnsi="Times New Roman"/>
          <w:bCs/>
          <w:color w:val="000000" w:themeColor="text1"/>
          <w:sz w:val="24"/>
          <w:szCs w:val="24"/>
        </w:rPr>
        <w:t xml:space="preserve"> p</w:t>
      </w:r>
      <w:r w:rsidRPr="00437AAA">
        <w:rPr>
          <w:rFonts w:ascii="Times New Roman" w:hAnsi="Times New Roman"/>
          <w:bCs/>
          <w:color w:val="000000" w:themeColor="text1"/>
          <w:sz w:val="24"/>
          <w:szCs w:val="24"/>
        </w:rPr>
        <w:t xml:space="preserve">ertanggungjawaban tetap dibebankan </w:t>
      </w:r>
      <w:r w:rsidR="00437AAA">
        <w:rPr>
          <w:rFonts w:ascii="Times New Roman" w:hAnsi="Times New Roman"/>
          <w:bCs/>
          <w:color w:val="000000" w:themeColor="text1"/>
          <w:sz w:val="24"/>
          <w:szCs w:val="24"/>
        </w:rPr>
        <w:t>k</w:t>
      </w:r>
      <w:r w:rsidRPr="00437AAA">
        <w:rPr>
          <w:rFonts w:ascii="Times New Roman" w:hAnsi="Times New Roman"/>
          <w:bCs/>
          <w:color w:val="000000" w:themeColor="text1"/>
          <w:sz w:val="24"/>
          <w:szCs w:val="24"/>
        </w:rPr>
        <w:t xml:space="preserve">epada </w:t>
      </w:r>
      <w:r w:rsidRPr="00437AAA">
        <w:rPr>
          <w:rFonts w:ascii="Times New Roman" w:hAnsi="Times New Roman"/>
          <w:bCs/>
          <w:color w:val="000000" w:themeColor="text1"/>
          <w:sz w:val="24"/>
          <w:szCs w:val="24"/>
        </w:rPr>
        <w:lastRenderedPageBreak/>
        <w:t>pengurus korporasi tersebut. Seiring</w:t>
      </w:r>
      <w:r w:rsidR="00437AAA">
        <w:rPr>
          <w:rFonts w:ascii="Times New Roman" w:hAnsi="Times New Roman"/>
          <w:bCs/>
          <w:color w:val="000000" w:themeColor="text1"/>
          <w:sz w:val="24"/>
          <w:szCs w:val="24"/>
        </w:rPr>
        <w:t xml:space="preserve"> w</w:t>
      </w:r>
      <w:r w:rsidRPr="00437AAA">
        <w:rPr>
          <w:rFonts w:ascii="Times New Roman" w:hAnsi="Times New Roman"/>
          <w:bCs/>
          <w:color w:val="000000" w:themeColor="text1"/>
          <w:sz w:val="24"/>
          <w:szCs w:val="24"/>
        </w:rPr>
        <w:t xml:space="preserve">aktu, tanggung jawab pidana tidak hanya </w:t>
      </w:r>
      <w:r w:rsidR="00437AAA">
        <w:rPr>
          <w:rFonts w:ascii="Times New Roman" w:hAnsi="Times New Roman"/>
          <w:bCs/>
          <w:color w:val="000000" w:themeColor="text1"/>
          <w:sz w:val="24"/>
          <w:szCs w:val="24"/>
        </w:rPr>
        <w:t>d</w:t>
      </w:r>
      <w:r w:rsidRPr="00437AAA">
        <w:rPr>
          <w:rFonts w:ascii="Times New Roman" w:hAnsi="Times New Roman"/>
          <w:bCs/>
          <w:color w:val="000000" w:themeColor="text1"/>
          <w:sz w:val="24"/>
          <w:szCs w:val="24"/>
        </w:rPr>
        <w:t>iarahkan pada anggota pengurus yang</w:t>
      </w:r>
      <w:r w:rsidR="003D5655">
        <w:rPr>
          <w:rFonts w:ascii="Times New Roman" w:hAnsi="Times New Roman"/>
          <w:bCs/>
          <w:color w:val="000000" w:themeColor="text1"/>
          <w:sz w:val="24"/>
          <w:szCs w:val="24"/>
        </w:rPr>
        <w:t xml:space="preserve"> m</w:t>
      </w:r>
      <w:r w:rsidRPr="003D5655">
        <w:rPr>
          <w:rFonts w:ascii="Times New Roman" w:hAnsi="Times New Roman"/>
          <w:bCs/>
          <w:color w:val="000000" w:themeColor="text1"/>
          <w:sz w:val="24"/>
          <w:szCs w:val="24"/>
        </w:rPr>
        <w:t xml:space="preserve">enjalankan operasional, tetapi juga kepada </w:t>
      </w:r>
      <w:r w:rsidR="003D5655">
        <w:rPr>
          <w:rFonts w:ascii="Times New Roman" w:hAnsi="Times New Roman"/>
          <w:bCs/>
          <w:color w:val="000000" w:themeColor="text1"/>
          <w:sz w:val="24"/>
          <w:szCs w:val="24"/>
        </w:rPr>
        <w:t>p</w:t>
      </w:r>
      <w:r w:rsidRPr="003D5655">
        <w:rPr>
          <w:rFonts w:ascii="Times New Roman" w:hAnsi="Times New Roman"/>
          <w:bCs/>
          <w:color w:val="000000" w:themeColor="text1"/>
          <w:sz w:val="24"/>
          <w:szCs w:val="24"/>
        </w:rPr>
        <w:t xml:space="preserve">ihak-pihak yang memberikan perintah atau </w:t>
      </w:r>
      <w:r w:rsidR="003D5655">
        <w:rPr>
          <w:rFonts w:ascii="Times New Roman" w:hAnsi="Times New Roman"/>
          <w:bCs/>
          <w:color w:val="000000" w:themeColor="text1"/>
          <w:sz w:val="24"/>
          <w:szCs w:val="24"/>
        </w:rPr>
        <w:t>y</w:t>
      </w:r>
      <w:r w:rsidRPr="003D5655">
        <w:rPr>
          <w:rFonts w:ascii="Times New Roman" w:hAnsi="Times New Roman"/>
          <w:bCs/>
          <w:color w:val="000000" w:themeColor="text1"/>
          <w:sz w:val="24"/>
          <w:szCs w:val="24"/>
        </w:rPr>
        <w:t xml:space="preserve">ang lalai dalam menjalankan kewajiban </w:t>
      </w:r>
      <w:r w:rsidR="003D5655">
        <w:rPr>
          <w:rFonts w:ascii="Times New Roman" w:hAnsi="Times New Roman"/>
          <w:bCs/>
          <w:color w:val="000000" w:themeColor="text1"/>
          <w:sz w:val="24"/>
          <w:szCs w:val="24"/>
        </w:rPr>
        <w:t>u</w:t>
      </w:r>
      <w:r w:rsidRPr="003D5655">
        <w:rPr>
          <w:rFonts w:ascii="Times New Roman" w:hAnsi="Times New Roman"/>
          <w:bCs/>
          <w:color w:val="000000" w:themeColor="text1"/>
          <w:sz w:val="24"/>
          <w:szCs w:val="24"/>
        </w:rPr>
        <w:t xml:space="preserve">ntuk mengarahkan dan mengendalikan </w:t>
      </w:r>
      <w:r w:rsidR="003D5655">
        <w:rPr>
          <w:rFonts w:ascii="Times New Roman" w:hAnsi="Times New Roman"/>
          <w:bCs/>
          <w:color w:val="000000" w:themeColor="text1"/>
          <w:sz w:val="24"/>
          <w:szCs w:val="24"/>
        </w:rPr>
        <w:t>j</w:t>
      </w:r>
      <w:r w:rsidRPr="003D5655">
        <w:rPr>
          <w:rFonts w:ascii="Times New Roman" w:hAnsi="Times New Roman"/>
          <w:bCs/>
          <w:color w:val="000000" w:themeColor="text1"/>
          <w:sz w:val="24"/>
          <w:szCs w:val="24"/>
        </w:rPr>
        <w:t xml:space="preserve">alannya korporasi. Dalam sistem ini, </w:t>
      </w:r>
      <w:r w:rsidR="003D5655">
        <w:rPr>
          <w:rFonts w:ascii="Times New Roman" w:hAnsi="Times New Roman"/>
          <w:bCs/>
          <w:color w:val="000000" w:themeColor="text1"/>
          <w:sz w:val="24"/>
          <w:szCs w:val="24"/>
        </w:rPr>
        <w:t>k</w:t>
      </w:r>
      <w:r w:rsidRPr="003D5655">
        <w:rPr>
          <w:rFonts w:ascii="Times New Roman" w:hAnsi="Times New Roman"/>
          <w:bCs/>
          <w:color w:val="000000" w:themeColor="text1"/>
          <w:sz w:val="24"/>
          <w:szCs w:val="24"/>
        </w:rPr>
        <w:t xml:space="preserve">orporasi memang diakui dapat melakukan </w:t>
      </w:r>
      <w:r w:rsidR="003D5655">
        <w:rPr>
          <w:rFonts w:ascii="Times New Roman" w:hAnsi="Times New Roman"/>
          <w:bCs/>
          <w:color w:val="000000" w:themeColor="text1"/>
          <w:sz w:val="24"/>
          <w:szCs w:val="24"/>
        </w:rPr>
        <w:t>t</w:t>
      </w:r>
      <w:r w:rsidRPr="003D5655">
        <w:rPr>
          <w:rFonts w:ascii="Times New Roman" w:hAnsi="Times New Roman"/>
          <w:bCs/>
          <w:color w:val="000000" w:themeColor="text1"/>
          <w:sz w:val="24"/>
          <w:szCs w:val="24"/>
        </w:rPr>
        <w:t>indak pidana, tetapi pertanggungjawaban</w:t>
      </w:r>
      <w:r w:rsidR="003D5655">
        <w:rPr>
          <w:rFonts w:ascii="Times New Roman" w:hAnsi="Times New Roman"/>
          <w:bCs/>
          <w:color w:val="000000" w:themeColor="text1"/>
          <w:sz w:val="24"/>
          <w:szCs w:val="24"/>
        </w:rPr>
        <w:t xml:space="preserve"> p</w:t>
      </w:r>
      <w:r w:rsidRPr="003D5655">
        <w:rPr>
          <w:rFonts w:ascii="Times New Roman" w:hAnsi="Times New Roman"/>
          <w:bCs/>
          <w:color w:val="000000" w:themeColor="text1"/>
          <w:sz w:val="24"/>
          <w:szCs w:val="24"/>
        </w:rPr>
        <w:t>idana tetap berada pada pengurus, selama</w:t>
      </w:r>
      <w:r w:rsidR="003D5655">
        <w:rPr>
          <w:rFonts w:ascii="Times New Roman" w:hAnsi="Times New Roman"/>
          <w:bCs/>
          <w:color w:val="000000" w:themeColor="text1"/>
          <w:sz w:val="24"/>
          <w:szCs w:val="24"/>
        </w:rPr>
        <w:t xml:space="preserve"> </w:t>
      </w:r>
      <w:r w:rsidR="002B3A3A">
        <w:rPr>
          <w:rFonts w:ascii="Times New Roman" w:hAnsi="Times New Roman"/>
          <w:bCs/>
          <w:color w:val="000000" w:themeColor="text1"/>
          <w:sz w:val="24"/>
          <w:szCs w:val="24"/>
        </w:rPr>
        <w:t>hal tersebut secara eksplisit diatur dalam k</w:t>
      </w:r>
      <w:r w:rsidR="002B3A3A" w:rsidRPr="002B3A3A">
        <w:rPr>
          <w:rFonts w:ascii="Times New Roman" w:hAnsi="Times New Roman"/>
          <w:bCs/>
          <w:color w:val="000000" w:themeColor="text1"/>
          <w:sz w:val="24"/>
          <w:szCs w:val="24"/>
        </w:rPr>
        <w:t>etentuan hukum yang berlaku.</w:t>
      </w:r>
    </w:p>
    <w:p w14:paraId="54B690AB" w14:textId="77777777" w:rsidR="00352382" w:rsidRDefault="00352382" w:rsidP="009B6CDE">
      <w:pPr>
        <w:pStyle w:val="ListParagraph"/>
        <w:numPr>
          <w:ilvl w:val="0"/>
          <w:numId w:val="13"/>
        </w:numPr>
        <w:spacing w:after="0" w:line="36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Korporasi sebagai pembuat dan p</w:t>
      </w:r>
      <w:r w:rsidRPr="00352382">
        <w:rPr>
          <w:rFonts w:ascii="Times New Roman" w:hAnsi="Times New Roman"/>
          <w:bCs/>
          <w:color w:val="000000" w:themeColor="text1"/>
          <w:sz w:val="24"/>
          <w:szCs w:val="24"/>
        </w:rPr>
        <w:t>enanggungjawab</w:t>
      </w:r>
    </w:p>
    <w:p w14:paraId="6399D25A" w14:textId="77777777" w:rsidR="00D77BB4" w:rsidRDefault="00352382" w:rsidP="009B6CDE">
      <w:pPr>
        <w:pStyle w:val="ListParagraph"/>
        <w:spacing w:after="0" w:line="360" w:lineRule="auto"/>
        <w:ind w:left="1440"/>
        <w:jc w:val="both"/>
        <w:rPr>
          <w:rFonts w:ascii="Times New Roman" w:hAnsi="Times New Roman"/>
          <w:bCs/>
          <w:color w:val="000000" w:themeColor="text1"/>
          <w:sz w:val="24"/>
          <w:szCs w:val="24"/>
        </w:rPr>
      </w:pPr>
      <w:r w:rsidRPr="00352382">
        <w:rPr>
          <w:rFonts w:ascii="Times New Roman" w:hAnsi="Times New Roman"/>
          <w:bCs/>
          <w:color w:val="000000" w:themeColor="text1"/>
          <w:sz w:val="24"/>
          <w:szCs w:val="24"/>
        </w:rPr>
        <w:t>Sistem pertanggungjawaban yang ketiga</w:t>
      </w:r>
      <w:r>
        <w:rPr>
          <w:rFonts w:ascii="Times New Roman" w:hAnsi="Times New Roman"/>
          <w:bCs/>
          <w:color w:val="000000" w:themeColor="text1"/>
          <w:sz w:val="24"/>
          <w:szCs w:val="24"/>
        </w:rPr>
        <w:t xml:space="preserve"> m</w:t>
      </w:r>
      <w:r w:rsidRPr="00352382">
        <w:rPr>
          <w:rFonts w:ascii="Times New Roman" w:hAnsi="Times New Roman"/>
          <w:bCs/>
          <w:color w:val="000000" w:themeColor="text1"/>
          <w:sz w:val="24"/>
          <w:szCs w:val="24"/>
        </w:rPr>
        <w:t xml:space="preserve">enempatkan korporasi tidak hanya sebagai </w:t>
      </w:r>
      <w:r w:rsidR="006F6507">
        <w:rPr>
          <w:rFonts w:ascii="Times New Roman" w:hAnsi="Times New Roman"/>
          <w:bCs/>
          <w:color w:val="000000" w:themeColor="text1"/>
          <w:sz w:val="24"/>
          <w:szCs w:val="24"/>
        </w:rPr>
        <w:t>p</w:t>
      </w:r>
      <w:r w:rsidRPr="006F6507">
        <w:rPr>
          <w:rFonts w:ascii="Times New Roman" w:hAnsi="Times New Roman"/>
          <w:bCs/>
          <w:color w:val="000000" w:themeColor="text1"/>
          <w:sz w:val="24"/>
          <w:szCs w:val="24"/>
        </w:rPr>
        <w:t>elaku tindak pidana, tetapi juga sebagai</w:t>
      </w:r>
      <w:r w:rsidR="006F6507">
        <w:rPr>
          <w:rFonts w:ascii="Times New Roman" w:hAnsi="Times New Roman"/>
          <w:bCs/>
          <w:color w:val="000000" w:themeColor="text1"/>
          <w:sz w:val="24"/>
          <w:szCs w:val="24"/>
        </w:rPr>
        <w:t xml:space="preserve"> p</w:t>
      </w:r>
      <w:r w:rsidRPr="006F6507">
        <w:rPr>
          <w:rFonts w:ascii="Times New Roman" w:hAnsi="Times New Roman"/>
          <w:bCs/>
          <w:color w:val="000000" w:themeColor="text1"/>
          <w:sz w:val="24"/>
          <w:szCs w:val="24"/>
        </w:rPr>
        <w:t xml:space="preserve">ihak yang secara langsung bertanggung </w:t>
      </w:r>
      <w:r w:rsidR="006F6507">
        <w:rPr>
          <w:rFonts w:ascii="Times New Roman" w:hAnsi="Times New Roman"/>
          <w:bCs/>
          <w:color w:val="000000" w:themeColor="text1"/>
          <w:sz w:val="24"/>
          <w:szCs w:val="24"/>
        </w:rPr>
        <w:t>j</w:t>
      </w:r>
      <w:r w:rsidRPr="006F6507">
        <w:rPr>
          <w:rFonts w:ascii="Times New Roman" w:hAnsi="Times New Roman"/>
          <w:bCs/>
          <w:color w:val="000000" w:themeColor="text1"/>
          <w:sz w:val="24"/>
          <w:szCs w:val="24"/>
        </w:rPr>
        <w:t xml:space="preserve">awab atas perbuatannya. Dalam pendekatan </w:t>
      </w:r>
      <w:r w:rsidR="004F26FF">
        <w:rPr>
          <w:rFonts w:ascii="Times New Roman" w:hAnsi="Times New Roman"/>
          <w:bCs/>
          <w:color w:val="000000" w:themeColor="text1"/>
          <w:sz w:val="24"/>
          <w:szCs w:val="24"/>
        </w:rPr>
        <w:t>i</w:t>
      </w:r>
      <w:r w:rsidRPr="004F26FF">
        <w:rPr>
          <w:rFonts w:ascii="Times New Roman" w:hAnsi="Times New Roman"/>
          <w:bCs/>
          <w:color w:val="000000" w:themeColor="text1"/>
          <w:sz w:val="24"/>
          <w:szCs w:val="24"/>
        </w:rPr>
        <w:t xml:space="preserve">ni, korporasi dapat dituntut dan dimintai </w:t>
      </w:r>
      <w:r w:rsidR="004F26FF">
        <w:rPr>
          <w:rFonts w:ascii="Times New Roman" w:hAnsi="Times New Roman"/>
          <w:bCs/>
          <w:color w:val="000000" w:themeColor="text1"/>
          <w:sz w:val="24"/>
          <w:szCs w:val="24"/>
        </w:rPr>
        <w:t>p</w:t>
      </w:r>
      <w:r w:rsidRPr="004F26FF">
        <w:rPr>
          <w:rFonts w:ascii="Times New Roman" w:hAnsi="Times New Roman"/>
          <w:bCs/>
          <w:color w:val="000000" w:themeColor="text1"/>
          <w:sz w:val="24"/>
          <w:szCs w:val="24"/>
        </w:rPr>
        <w:t xml:space="preserve">ertanggungjawaban berdasarkan hukum </w:t>
      </w:r>
      <w:r w:rsidR="004F26FF">
        <w:rPr>
          <w:rFonts w:ascii="Times New Roman" w:hAnsi="Times New Roman"/>
          <w:bCs/>
          <w:color w:val="000000" w:themeColor="text1"/>
          <w:sz w:val="24"/>
          <w:szCs w:val="24"/>
        </w:rPr>
        <w:t>p</w:t>
      </w:r>
      <w:r w:rsidRPr="004F26FF">
        <w:rPr>
          <w:rFonts w:ascii="Times New Roman" w:hAnsi="Times New Roman"/>
          <w:bCs/>
          <w:color w:val="000000" w:themeColor="text1"/>
          <w:sz w:val="24"/>
          <w:szCs w:val="24"/>
        </w:rPr>
        <w:t>idana. Beberapa alasan yang mendasari</w:t>
      </w:r>
      <w:r w:rsidR="004F26FF">
        <w:rPr>
          <w:rFonts w:ascii="Times New Roman" w:hAnsi="Times New Roman"/>
          <w:bCs/>
          <w:color w:val="000000" w:themeColor="text1"/>
          <w:sz w:val="24"/>
          <w:szCs w:val="24"/>
        </w:rPr>
        <w:t xml:space="preserve"> p</w:t>
      </w:r>
      <w:r w:rsidRPr="004F26FF">
        <w:rPr>
          <w:rFonts w:ascii="Times New Roman" w:hAnsi="Times New Roman"/>
          <w:bCs/>
          <w:color w:val="000000" w:themeColor="text1"/>
          <w:sz w:val="24"/>
          <w:szCs w:val="24"/>
        </w:rPr>
        <w:t>andangan ini adalah sebagai berikut:</w:t>
      </w:r>
    </w:p>
    <w:p w14:paraId="3DD67CB7" w14:textId="77777777" w:rsidR="00D90AD9" w:rsidRDefault="00352382" w:rsidP="009B6CDE">
      <w:pPr>
        <w:pStyle w:val="ListParagraph"/>
        <w:numPr>
          <w:ilvl w:val="0"/>
          <w:numId w:val="14"/>
        </w:numPr>
        <w:spacing w:after="0" w:line="360" w:lineRule="auto"/>
        <w:jc w:val="both"/>
        <w:rPr>
          <w:rFonts w:ascii="Times New Roman" w:hAnsi="Times New Roman"/>
          <w:bCs/>
          <w:color w:val="000000" w:themeColor="text1"/>
          <w:sz w:val="24"/>
          <w:szCs w:val="24"/>
        </w:rPr>
      </w:pPr>
      <w:r w:rsidRPr="00D77BB4">
        <w:rPr>
          <w:rFonts w:ascii="Times New Roman" w:hAnsi="Times New Roman"/>
          <w:bCs/>
          <w:color w:val="000000" w:themeColor="text1"/>
          <w:sz w:val="24"/>
          <w:szCs w:val="24"/>
        </w:rPr>
        <w:t xml:space="preserve">Pertama, dalam tindak pidana </w:t>
      </w:r>
      <w:r w:rsidR="00D77BB4">
        <w:rPr>
          <w:rFonts w:ascii="Times New Roman" w:hAnsi="Times New Roman"/>
          <w:bCs/>
          <w:color w:val="000000" w:themeColor="text1"/>
          <w:sz w:val="24"/>
          <w:szCs w:val="24"/>
        </w:rPr>
        <w:t>e</w:t>
      </w:r>
      <w:r w:rsidRPr="00D77BB4">
        <w:rPr>
          <w:rFonts w:ascii="Times New Roman" w:hAnsi="Times New Roman"/>
          <w:bCs/>
          <w:color w:val="000000" w:themeColor="text1"/>
          <w:sz w:val="24"/>
          <w:szCs w:val="24"/>
        </w:rPr>
        <w:t xml:space="preserve">konomi dan perpajakan, </w:t>
      </w:r>
      <w:r w:rsidR="001D5425">
        <w:rPr>
          <w:rFonts w:ascii="Times New Roman" w:hAnsi="Times New Roman"/>
          <w:bCs/>
          <w:color w:val="000000" w:themeColor="text1"/>
          <w:sz w:val="24"/>
          <w:szCs w:val="24"/>
        </w:rPr>
        <w:t>k</w:t>
      </w:r>
      <w:r w:rsidRPr="001D5425">
        <w:rPr>
          <w:rFonts w:ascii="Times New Roman" w:hAnsi="Times New Roman"/>
          <w:bCs/>
          <w:color w:val="000000" w:themeColor="text1"/>
          <w:sz w:val="24"/>
          <w:szCs w:val="24"/>
        </w:rPr>
        <w:t xml:space="preserve">euntungan yang dinikmati oleh </w:t>
      </w:r>
      <w:r w:rsidR="001D5425">
        <w:rPr>
          <w:rFonts w:ascii="Times New Roman" w:hAnsi="Times New Roman"/>
          <w:bCs/>
          <w:color w:val="000000" w:themeColor="text1"/>
          <w:sz w:val="24"/>
          <w:szCs w:val="24"/>
        </w:rPr>
        <w:t>k</w:t>
      </w:r>
      <w:r w:rsidRPr="001D5425">
        <w:rPr>
          <w:rFonts w:ascii="Times New Roman" w:hAnsi="Times New Roman"/>
          <w:bCs/>
          <w:color w:val="000000" w:themeColor="text1"/>
          <w:sz w:val="24"/>
          <w:szCs w:val="24"/>
        </w:rPr>
        <w:t xml:space="preserve">orporasi atau kerugian yang </w:t>
      </w:r>
      <w:r w:rsidR="001D5425">
        <w:rPr>
          <w:rFonts w:ascii="Times New Roman" w:hAnsi="Times New Roman"/>
          <w:bCs/>
          <w:color w:val="000000" w:themeColor="text1"/>
          <w:sz w:val="24"/>
          <w:szCs w:val="24"/>
        </w:rPr>
        <w:t>d</w:t>
      </w:r>
      <w:r w:rsidRPr="001D5425">
        <w:rPr>
          <w:rFonts w:ascii="Times New Roman" w:hAnsi="Times New Roman"/>
          <w:bCs/>
          <w:color w:val="000000" w:themeColor="text1"/>
          <w:sz w:val="24"/>
          <w:szCs w:val="24"/>
        </w:rPr>
        <w:t>itanggung oleh masyarakat bisa</w:t>
      </w:r>
      <w:r w:rsidR="001D5425">
        <w:rPr>
          <w:rFonts w:ascii="Times New Roman" w:hAnsi="Times New Roman"/>
          <w:bCs/>
          <w:color w:val="000000" w:themeColor="text1"/>
          <w:sz w:val="24"/>
          <w:szCs w:val="24"/>
        </w:rPr>
        <w:t xml:space="preserve"> s</w:t>
      </w:r>
      <w:r w:rsidRPr="001D5425">
        <w:rPr>
          <w:rFonts w:ascii="Times New Roman" w:hAnsi="Times New Roman"/>
          <w:bCs/>
          <w:color w:val="000000" w:themeColor="text1"/>
          <w:sz w:val="24"/>
          <w:szCs w:val="24"/>
        </w:rPr>
        <w:t xml:space="preserve">angat besar. Oleh karena itu, </w:t>
      </w:r>
      <w:r w:rsidR="001D5425">
        <w:rPr>
          <w:rFonts w:ascii="Times New Roman" w:hAnsi="Times New Roman"/>
          <w:bCs/>
          <w:color w:val="000000" w:themeColor="text1"/>
          <w:sz w:val="24"/>
          <w:szCs w:val="24"/>
        </w:rPr>
        <w:t>a</w:t>
      </w:r>
      <w:r w:rsidRPr="001D5425">
        <w:rPr>
          <w:rFonts w:ascii="Times New Roman" w:hAnsi="Times New Roman"/>
          <w:bCs/>
          <w:color w:val="000000" w:themeColor="text1"/>
          <w:sz w:val="24"/>
          <w:szCs w:val="24"/>
        </w:rPr>
        <w:t xml:space="preserve">kan terasa tidak adil jika sanksi </w:t>
      </w:r>
      <w:r w:rsidR="001D5425">
        <w:rPr>
          <w:rFonts w:ascii="Times New Roman" w:hAnsi="Times New Roman"/>
          <w:bCs/>
          <w:color w:val="000000" w:themeColor="text1"/>
          <w:sz w:val="24"/>
          <w:szCs w:val="24"/>
        </w:rPr>
        <w:t>p</w:t>
      </w:r>
      <w:r w:rsidRPr="001D5425">
        <w:rPr>
          <w:rFonts w:ascii="Times New Roman" w:hAnsi="Times New Roman"/>
          <w:bCs/>
          <w:color w:val="000000" w:themeColor="text1"/>
          <w:sz w:val="24"/>
          <w:szCs w:val="24"/>
        </w:rPr>
        <w:t xml:space="preserve">idana hanya dijatuhkan kepada </w:t>
      </w:r>
      <w:r w:rsidR="001D5425">
        <w:rPr>
          <w:rFonts w:ascii="Times New Roman" w:hAnsi="Times New Roman"/>
          <w:bCs/>
          <w:color w:val="000000" w:themeColor="text1"/>
          <w:sz w:val="24"/>
          <w:szCs w:val="24"/>
        </w:rPr>
        <w:t>p</w:t>
      </w:r>
      <w:r w:rsidRPr="001D5425">
        <w:rPr>
          <w:rFonts w:ascii="Times New Roman" w:hAnsi="Times New Roman"/>
          <w:bCs/>
          <w:color w:val="000000" w:themeColor="text1"/>
          <w:sz w:val="24"/>
          <w:szCs w:val="24"/>
        </w:rPr>
        <w:t xml:space="preserve">engurus, tanpa menyentuh badan </w:t>
      </w:r>
      <w:r w:rsidR="001D5425">
        <w:rPr>
          <w:rFonts w:ascii="Times New Roman" w:hAnsi="Times New Roman"/>
          <w:bCs/>
          <w:color w:val="000000" w:themeColor="text1"/>
          <w:sz w:val="24"/>
          <w:szCs w:val="24"/>
        </w:rPr>
        <w:t>h</w:t>
      </w:r>
      <w:r w:rsidRPr="001D5425">
        <w:rPr>
          <w:rFonts w:ascii="Times New Roman" w:hAnsi="Times New Roman"/>
          <w:bCs/>
          <w:color w:val="000000" w:themeColor="text1"/>
          <w:sz w:val="24"/>
          <w:szCs w:val="24"/>
        </w:rPr>
        <w:t>ukumnya.</w:t>
      </w:r>
    </w:p>
    <w:p w14:paraId="41941117" w14:textId="0EFEC8F4" w:rsidR="00352382" w:rsidRPr="00D90AD9" w:rsidRDefault="00352382" w:rsidP="009B6CDE">
      <w:pPr>
        <w:pStyle w:val="ListParagraph"/>
        <w:numPr>
          <w:ilvl w:val="0"/>
          <w:numId w:val="14"/>
        </w:numPr>
        <w:spacing w:after="0" w:line="360" w:lineRule="auto"/>
        <w:jc w:val="both"/>
        <w:rPr>
          <w:rFonts w:ascii="Times New Roman" w:hAnsi="Times New Roman"/>
          <w:bCs/>
          <w:color w:val="000000" w:themeColor="text1"/>
          <w:sz w:val="24"/>
          <w:szCs w:val="24"/>
        </w:rPr>
      </w:pPr>
      <w:r w:rsidRPr="00D90AD9">
        <w:rPr>
          <w:rFonts w:ascii="Times New Roman" w:hAnsi="Times New Roman"/>
          <w:bCs/>
          <w:color w:val="000000" w:themeColor="text1"/>
          <w:sz w:val="24"/>
          <w:szCs w:val="24"/>
        </w:rPr>
        <w:t xml:space="preserve">Kedua, menjatuhkan pidana hanya </w:t>
      </w:r>
      <w:r w:rsidR="00D90AD9">
        <w:rPr>
          <w:rFonts w:ascii="Times New Roman" w:hAnsi="Times New Roman"/>
          <w:bCs/>
          <w:color w:val="000000" w:themeColor="text1"/>
          <w:sz w:val="24"/>
          <w:szCs w:val="24"/>
        </w:rPr>
        <w:t>k</w:t>
      </w:r>
      <w:r w:rsidRPr="00D90AD9">
        <w:rPr>
          <w:rFonts w:ascii="Times New Roman" w:hAnsi="Times New Roman"/>
          <w:bCs/>
          <w:color w:val="000000" w:themeColor="text1"/>
          <w:sz w:val="24"/>
          <w:szCs w:val="24"/>
        </w:rPr>
        <w:t xml:space="preserve">epada pengurus tidak menjamin </w:t>
      </w:r>
      <w:r w:rsidR="00D90AD9">
        <w:rPr>
          <w:rFonts w:ascii="Times New Roman" w:hAnsi="Times New Roman"/>
          <w:bCs/>
          <w:color w:val="000000" w:themeColor="text1"/>
          <w:sz w:val="24"/>
          <w:szCs w:val="24"/>
        </w:rPr>
        <w:t>b</w:t>
      </w:r>
      <w:r w:rsidRPr="00D90AD9">
        <w:rPr>
          <w:rFonts w:ascii="Times New Roman" w:hAnsi="Times New Roman"/>
          <w:bCs/>
          <w:color w:val="000000" w:themeColor="text1"/>
          <w:sz w:val="24"/>
          <w:szCs w:val="24"/>
        </w:rPr>
        <w:t xml:space="preserve">ahwa korporasi tidak akan </w:t>
      </w:r>
      <w:r w:rsidR="00D90AD9">
        <w:rPr>
          <w:rFonts w:ascii="Times New Roman" w:hAnsi="Times New Roman"/>
          <w:bCs/>
          <w:color w:val="000000" w:themeColor="text1"/>
          <w:sz w:val="24"/>
          <w:szCs w:val="24"/>
        </w:rPr>
        <w:t>m</w:t>
      </w:r>
      <w:r w:rsidRPr="00D90AD9">
        <w:rPr>
          <w:rFonts w:ascii="Times New Roman" w:hAnsi="Times New Roman"/>
          <w:bCs/>
          <w:color w:val="000000" w:themeColor="text1"/>
          <w:sz w:val="24"/>
          <w:szCs w:val="24"/>
        </w:rPr>
        <w:t xml:space="preserve">engulangi pelanggaran yang </w:t>
      </w:r>
      <w:r w:rsidR="00D90AD9">
        <w:rPr>
          <w:rFonts w:ascii="Times New Roman" w:hAnsi="Times New Roman"/>
          <w:bCs/>
          <w:color w:val="000000" w:themeColor="text1"/>
          <w:sz w:val="24"/>
          <w:szCs w:val="24"/>
        </w:rPr>
        <w:t>s</w:t>
      </w:r>
      <w:r w:rsidRPr="00D90AD9">
        <w:rPr>
          <w:rFonts w:ascii="Times New Roman" w:hAnsi="Times New Roman"/>
          <w:bCs/>
          <w:color w:val="000000" w:themeColor="text1"/>
          <w:sz w:val="24"/>
          <w:szCs w:val="24"/>
        </w:rPr>
        <w:t xml:space="preserve">ama di masa mendatang. Justru </w:t>
      </w:r>
      <w:r w:rsidR="00D90AD9">
        <w:rPr>
          <w:rFonts w:ascii="Times New Roman" w:hAnsi="Times New Roman"/>
          <w:bCs/>
          <w:color w:val="000000" w:themeColor="text1"/>
          <w:sz w:val="24"/>
          <w:szCs w:val="24"/>
        </w:rPr>
        <w:t>d</w:t>
      </w:r>
      <w:r w:rsidRPr="00D90AD9">
        <w:rPr>
          <w:rFonts w:ascii="Times New Roman" w:hAnsi="Times New Roman"/>
          <w:bCs/>
          <w:color w:val="000000" w:themeColor="text1"/>
          <w:sz w:val="24"/>
          <w:szCs w:val="24"/>
        </w:rPr>
        <w:t xml:space="preserve">engan memberikan sanksi pidana </w:t>
      </w:r>
      <w:r w:rsidR="00D90AD9">
        <w:rPr>
          <w:rFonts w:ascii="Times New Roman" w:hAnsi="Times New Roman"/>
          <w:bCs/>
          <w:color w:val="000000" w:themeColor="text1"/>
          <w:sz w:val="24"/>
          <w:szCs w:val="24"/>
        </w:rPr>
        <w:t>l</w:t>
      </w:r>
      <w:r w:rsidRPr="00D90AD9">
        <w:rPr>
          <w:rFonts w:ascii="Times New Roman" w:hAnsi="Times New Roman"/>
          <w:bCs/>
          <w:color w:val="000000" w:themeColor="text1"/>
          <w:sz w:val="24"/>
          <w:szCs w:val="24"/>
        </w:rPr>
        <w:t xml:space="preserve">angsung kepada korporasi yang </w:t>
      </w:r>
      <w:r w:rsidR="00D90AD9">
        <w:rPr>
          <w:rFonts w:ascii="Times New Roman" w:hAnsi="Times New Roman"/>
          <w:bCs/>
          <w:color w:val="000000" w:themeColor="text1"/>
          <w:sz w:val="24"/>
          <w:szCs w:val="24"/>
        </w:rPr>
        <w:t>d</w:t>
      </w:r>
      <w:r w:rsidRPr="00D90AD9">
        <w:rPr>
          <w:rFonts w:ascii="Times New Roman" w:hAnsi="Times New Roman"/>
          <w:bCs/>
          <w:color w:val="000000" w:themeColor="text1"/>
          <w:sz w:val="24"/>
          <w:szCs w:val="24"/>
        </w:rPr>
        <w:t xml:space="preserve">isesuaikan dengan jenis dan </w:t>
      </w:r>
      <w:r w:rsidR="00D90AD9">
        <w:rPr>
          <w:rFonts w:ascii="Times New Roman" w:hAnsi="Times New Roman"/>
          <w:bCs/>
          <w:color w:val="000000" w:themeColor="text1"/>
          <w:sz w:val="24"/>
          <w:szCs w:val="24"/>
        </w:rPr>
        <w:t>k</w:t>
      </w:r>
      <w:r w:rsidRPr="00D90AD9">
        <w:rPr>
          <w:rFonts w:ascii="Times New Roman" w:hAnsi="Times New Roman"/>
          <w:bCs/>
          <w:color w:val="000000" w:themeColor="text1"/>
          <w:sz w:val="24"/>
          <w:szCs w:val="24"/>
        </w:rPr>
        <w:t xml:space="preserve">arakteristik badan hukum </w:t>
      </w:r>
      <w:r w:rsidR="00D90AD9">
        <w:rPr>
          <w:rFonts w:ascii="Times New Roman" w:hAnsi="Times New Roman"/>
          <w:bCs/>
          <w:color w:val="000000" w:themeColor="text1"/>
          <w:sz w:val="24"/>
          <w:szCs w:val="24"/>
        </w:rPr>
        <w:t>t</w:t>
      </w:r>
      <w:r w:rsidRPr="00D90AD9">
        <w:rPr>
          <w:rFonts w:ascii="Times New Roman" w:hAnsi="Times New Roman"/>
          <w:bCs/>
          <w:color w:val="000000" w:themeColor="text1"/>
          <w:sz w:val="24"/>
          <w:szCs w:val="24"/>
        </w:rPr>
        <w:t xml:space="preserve">ersebut diharapkan dapat </w:t>
      </w:r>
      <w:r w:rsidR="00D90AD9">
        <w:rPr>
          <w:rFonts w:ascii="Times New Roman" w:hAnsi="Times New Roman"/>
          <w:bCs/>
          <w:color w:val="000000" w:themeColor="text1"/>
          <w:sz w:val="24"/>
          <w:szCs w:val="24"/>
        </w:rPr>
        <w:t>m</w:t>
      </w:r>
      <w:r w:rsidRPr="00D90AD9">
        <w:rPr>
          <w:rFonts w:ascii="Times New Roman" w:hAnsi="Times New Roman"/>
          <w:bCs/>
          <w:color w:val="000000" w:themeColor="text1"/>
          <w:sz w:val="24"/>
          <w:szCs w:val="24"/>
        </w:rPr>
        <w:t xml:space="preserve">enumbuhkan kepatuhan </w:t>
      </w:r>
      <w:r w:rsidR="00D90AD9">
        <w:rPr>
          <w:rFonts w:ascii="Times New Roman" w:hAnsi="Times New Roman"/>
          <w:bCs/>
          <w:color w:val="000000" w:themeColor="text1"/>
          <w:sz w:val="24"/>
          <w:szCs w:val="24"/>
        </w:rPr>
        <w:t>k</w:t>
      </w:r>
      <w:r w:rsidRPr="00D90AD9">
        <w:rPr>
          <w:rFonts w:ascii="Times New Roman" w:hAnsi="Times New Roman"/>
          <w:bCs/>
          <w:color w:val="000000" w:themeColor="text1"/>
          <w:sz w:val="24"/>
          <w:szCs w:val="24"/>
        </w:rPr>
        <w:t xml:space="preserve">orporasi terhadap peraturan erundang-undangan yang </w:t>
      </w:r>
      <w:r w:rsidR="00D90AD9">
        <w:rPr>
          <w:rFonts w:ascii="Times New Roman" w:hAnsi="Times New Roman"/>
          <w:bCs/>
          <w:color w:val="000000" w:themeColor="text1"/>
          <w:sz w:val="24"/>
          <w:szCs w:val="24"/>
        </w:rPr>
        <w:t>b</w:t>
      </w:r>
      <w:r w:rsidRPr="00D90AD9">
        <w:rPr>
          <w:rFonts w:ascii="Times New Roman" w:hAnsi="Times New Roman"/>
          <w:bCs/>
          <w:color w:val="000000" w:themeColor="text1"/>
          <w:sz w:val="24"/>
          <w:szCs w:val="24"/>
        </w:rPr>
        <w:t>erlaku.</w:t>
      </w:r>
    </w:p>
    <w:p w14:paraId="3DE7838D" w14:textId="449E0D6D" w:rsidR="00B142D6" w:rsidRDefault="00B03862" w:rsidP="00D962F1">
      <w:pPr>
        <w:pStyle w:val="ListParagraph"/>
        <w:numPr>
          <w:ilvl w:val="0"/>
          <w:numId w:val="10"/>
        </w:num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Implikasi Kasus PT. Asian Agri Group Terhadap S</w:t>
      </w:r>
      <w:r w:rsidRPr="00B03862">
        <w:rPr>
          <w:rFonts w:ascii="Times New Roman" w:hAnsi="Times New Roman"/>
          <w:b/>
          <w:color w:val="000000" w:themeColor="text1"/>
          <w:sz w:val="24"/>
          <w:szCs w:val="24"/>
        </w:rPr>
        <w:t>istem Perpajakan Indonesia</w:t>
      </w:r>
    </w:p>
    <w:p w14:paraId="547462FB" w14:textId="343DFD90" w:rsidR="00C04FCD" w:rsidRDefault="005647C0" w:rsidP="00D320F1">
      <w:pPr>
        <w:pStyle w:val="ListParagraph"/>
        <w:spacing w:after="0" w:line="36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Kasus PT. Asian Agri Group memberikan d</w:t>
      </w:r>
      <w:r w:rsidRPr="005647C0">
        <w:rPr>
          <w:rFonts w:ascii="Times New Roman" w:hAnsi="Times New Roman"/>
          <w:bCs/>
          <w:color w:val="000000" w:themeColor="text1"/>
          <w:sz w:val="24"/>
          <w:szCs w:val="24"/>
        </w:rPr>
        <w:t xml:space="preserve">ampak signifikan terhadap sistem perpajakan di Indonesia, khususnya dalam hal pengawasan </w:t>
      </w:r>
      <w:r>
        <w:rPr>
          <w:rFonts w:ascii="Times New Roman" w:hAnsi="Times New Roman"/>
          <w:bCs/>
          <w:color w:val="000000" w:themeColor="text1"/>
          <w:sz w:val="24"/>
          <w:szCs w:val="24"/>
        </w:rPr>
        <w:t>t</w:t>
      </w:r>
      <w:r w:rsidRPr="005647C0">
        <w:rPr>
          <w:rFonts w:ascii="Times New Roman" w:hAnsi="Times New Roman"/>
          <w:bCs/>
          <w:color w:val="000000" w:themeColor="text1"/>
          <w:sz w:val="24"/>
          <w:szCs w:val="24"/>
        </w:rPr>
        <w:t xml:space="preserve">erhadap wajib pajak badan usaha. Salah satu </w:t>
      </w:r>
      <w:r>
        <w:rPr>
          <w:rFonts w:ascii="Times New Roman" w:hAnsi="Times New Roman"/>
          <w:bCs/>
          <w:color w:val="000000" w:themeColor="text1"/>
          <w:sz w:val="24"/>
          <w:szCs w:val="24"/>
        </w:rPr>
        <w:t>p</w:t>
      </w:r>
      <w:r w:rsidRPr="005647C0">
        <w:rPr>
          <w:rFonts w:ascii="Times New Roman" w:hAnsi="Times New Roman"/>
          <w:bCs/>
          <w:color w:val="000000" w:themeColor="text1"/>
          <w:sz w:val="24"/>
          <w:szCs w:val="24"/>
        </w:rPr>
        <w:t xml:space="preserve">elajaran utama dari kasus ini adalah pentingnya </w:t>
      </w:r>
      <w:r>
        <w:rPr>
          <w:rFonts w:ascii="Times New Roman" w:hAnsi="Times New Roman"/>
          <w:bCs/>
          <w:color w:val="000000" w:themeColor="text1"/>
          <w:sz w:val="24"/>
          <w:szCs w:val="24"/>
        </w:rPr>
        <w:t>m</w:t>
      </w:r>
      <w:r w:rsidRPr="005647C0">
        <w:rPr>
          <w:rFonts w:ascii="Times New Roman" w:hAnsi="Times New Roman"/>
          <w:bCs/>
          <w:color w:val="000000" w:themeColor="text1"/>
          <w:sz w:val="24"/>
          <w:szCs w:val="24"/>
        </w:rPr>
        <w:t xml:space="preserve">emperketat mekanisme pengawasan terhadap </w:t>
      </w:r>
      <w:r w:rsidR="007514AA">
        <w:rPr>
          <w:rFonts w:ascii="Times New Roman" w:hAnsi="Times New Roman"/>
          <w:bCs/>
          <w:color w:val="000000" w:themeColor="text1"/>
          <w:sz w:val="24"/>
          <w:szCs w:val="24"/>
        </w:rPr>
        <w:t>p</w:t>
      </w:r>
      <w:r w:rsidRPr="007514AA">
        <w:rPr>
          <w:rFonts w:ascii="Times New Roman" w:hAnsi="Times New Roman"/>
          <w:bCs/>
          <w:color w:val="000000" w:themeColor="text1"/>
          <w:sz w:val="24"/>
          <w:szCs w:val="24"/>
        </w:rPr>
        <w:t xml:space="preserve">erusahaan besar yang memiliki potensi tinggi dalam </w:t>
      </w:r>
      <w:r w:rsidR="007514AA">
        <w:rPr>
          <w:rFonts w:ascii="Times New Roman" w:hAnsi="Times New Roman"/>
          <w:bCs/>
          <w:color w:val="000000" w:themeColor="text1"/>
          <w:sz w:val="24"/>
          <w:szCs w:val="24"/>
        </w:rPr>
        <w:lastRenderedPageBreak/>
        <w:t>m</w:t>
      </w:r>
      <w:r w:rsidRPr="007514AA">
        <w:rPr>
          <w:rFonts w:ascii="Times New Roman" w:hAnsi="Times New Roman"/>
          <w:bCs/>
          <w:color w:val="000000" w:themeColor="text1"/>
          <w:sz w:val="24"/>
          <w:szCs w:val="24"/>
        </w:rPr>
        <w:t xml:space="preserve">elakukan penghindaran pajak. Direktorat Jenderal Pajak perlu meningkatkan transparansi dan </w:t>
      </w:r>
      <w:r w:rsidR="007514AA">
        <w:rPr>
          <w:rFonts w:ascii="Times New Roman" w:hAnsi="Times New Roman"/>
          <w:bCs/>
          <w:color w:val="000000" w:themeColor="text1"/>
          <w:sz w:val="24"/>
          <w:szCs w:val="24"/>
        </w:rPr>
        <w:t>e</w:t>
      </w:r>
      <w:r w:rsidRPr="007514AA">
        <w:rPr>
          <w:rFonts w:ascii="Times New Roman" w:hAnsi="Times New Roman"/>
          <w:bCs/>
          <w:color w:val="000000" w:themeColor="text1"/>
          <w:sz w:val="24"/>
          <w:szCs w:val="24"/>
        </w:rPr>
        <w:t xml:space="preserve">fektivitas sistem audit pajak, termasuk dengan </w:t>
      </w:r>
      <w:r w:rsidR="007514AA">
        <w:rPr>
          <w:rFonts w:ascii="Times New Roman" w:hAnsi="Times New Roman"/>
          <w:bCs/>
          <w:color w:val="000000" w:themeColor="text1"/>
          <w:sz w:val="24"/>
          <w:szCs w:val="24"/>
        </w:rPr>
        <w:t>m</w:t>
      </w:r>
      <w:r w:rsidRPr="007514AA">
        <w:rPr>
          <w:rFonts w:ascii="Times New Roman" w:hAnsi="Times New Roman"/>
          <w:bCs/>
          <w:color w:val="000000" w:themeColor="text1"/>
          <w:sz w:val="24"/>
          <w:szCs w:val="24"/>
        </w:rPr>
        <w:t xml:space="preserve">emperkuat kerja sama dengan lembaga seperti PPATK untuk mendeteksi potensi pelanggaran sejak </w:t>
      </w:r>
      <w:r w:rsidR="007514AA">
        <w:rPr>
          <w:rFonts w:ascii="Times New Roman" w:hAnsi="Times New Roman"/>
          <w:bCs/>
          <w:color w:val="000000" w:themeColor="text1"/>
          <w:sz w:val="24"/>
          <w:szCs w:val="24"/>
        </w:rPr>
        <w:t>d</w:t>
      </w:r>
      <w:r w:rsidRPr="007514AA">
        <w:rPr>
          <w:rFonts w:ascii="Times New Roman" w:hAnsi="Times New Roman"/>
          <w:bCs/>
          <w:color w:val="000000" w:themeColor="text1"/>
          <w:sz w:val="24"/>
          <w:szCs w:val="24"/>
        </w:rPr>
        <w:t>ini.</w:t>
      </w:r>
      <w:r w:rsidR="005A6B97">
        <w:rPr>
          <w:rStyle w:val="FootnoteReference"/>
          <w:rFonts w:ascii="Times New Roman" w:hAnsi="Times New Roman"/>
          <w:bCs/>
          <w:color w:val="000000" w:themeColor="text1"/>
          <w:sz w:val="24"/>
          <w:szCs w:val="24"/>
        </w:rPr>
        <w:footnoteReference w:id="15"/>
      </w:r>
      <w:r w:rsidRPr="007514AA">
        <w:rPr>
          <w:rFonts w:ascii="Times New Roman" w:hAnsi="Times New Roman"/>
          <w:bCs/>
          <w:color w:val="000000" w:themeColor="text1"/>
          <w:sz w:val="24"/>
          <w:szCs w:val="24"/>
        </w:rPr>
        <w:t xml:space="preserve"> Selain itu, penguatan regulasi terkait dengan </w:t>
      </w:r>
      <w:r w:rsidR="007514AA">
        <w:rPr>
          <w:rFonts w:ascii="Times New Roman" w:hAnsi="Times New Roman"/>
          <w:bCs/>
          <w:color w:val="000000" w:themeColor="text1"/>
          <w:sz w:val="24"/>
          <w:szCs w:val="24"/>
        </w:rPr>
        <w:t>t</w:t>
      </w:r>
      <w:r w:rsidRPr="007514AA">
        <w:rPr>
          <w:rFonts w:ascii="Times New Roman" w:hAnsi="Times New Roman"/>
          <w:bCs/>
          <w:color w:val="000000" w:themeColor="text1"/>
          <w:sz w:val="24"/>
          <w:szCs w:val="24"/>
        </w:rPr>
        <w:t xml:space="preserve">ransaksi lintas negara, terutama dalam skema </w:t>
      </w:r>
      <w:r w:rsidR="007514AA" w:rsidRPr="00C04FCD">
        <w:rPr>
          <w:rFonts w:ascii="Times New Roman" w:hAnsi="Times New Roman"/>
          <w:bCs/>
          <w:i/>
          <w:iCs/>
          <w:color w:val="000000" w:themeColor="text1"/>
          <w:sz w:val="24"/>
          <w:szCs w:val="24"/>
        </w:rPr>
        <w:t>t</w:t>
      </w:r>
      <w:r w:rsidRPr="00C04FCD">
        <w:rPr>
          <w:rFonts w:ascii="Times New Roman" w:hAnsi="Times New Roman"/>
          <w:bCs/>
          <w:i/>
          <w:iCs/>
          <w:color w:val="000000" w:themeColor="text1"/>
          <w:sz w:val="24"/>
          <w:szCs w:val="24"/>
        </w:rPr>
        <w:t>ransfer pricing</w:t>
      </w:r>
      <w:r w:rsidRPr="007514AA">
        <w:rPr>
          <w:rFonts w:ascii="Times New Roman" w:hAnsi="Times New Roman"/>
          <w:bCs/>
          <w:color w:val="000000" w:themeColor="text1"/>
          <w:sz w:val="24"/>
          <w:szCs w:val="24"/>
        </w:rPr>
        <w:t xml:space="preserve">, menjadi hal yang mendesak agar </w:t>
      </w:r>
      <w:r w:rsidR="00C04FCD">
        <w:rPr>
          <w:rFonts w:ascii="Times New Roman" w:hAnsi="Times New Roman"/>
          <w:bCs/>
          <w:color w:val="000000" w:themeColor="text1"/>
          <w:sz w:val="24"/>
          <w:szCs w:val="24"/>
        </w:rPr>
        <w:t>p</w:t>
      </w:r>
      <w:r w:rsidRPr="00C04FCD">
        <w:rPr>
          <w:rFonts w:ascii="Times New Roman" w:hAnsi="Times New Roman"/>
          <w:bCs/>
          <w:color w:val="000000" w:themeColor="text1"/>
          <w:sz w:val="24"/>
          <w:szCs w:val="24"/>
        </w:rPr>
        <w:t>raktik serupa tidak terulang di masa mendatang.</w:t>
      </w:r>
    </w:p>
    <w:p w14:paraId="330F173B" w14:textId="4694DDEB" w:rsidR="00235F73" w:rsidRDefault="005647C0" w:rsidP="00235F73">
      <w:pPr>
        <w:pStyle w:val="ListParagraph"/>
        <w:spacing w:after="0" w:line="360" w:lineRule="auto"/>
        <w:ind w:firstLine="720"/>
        <w:jc w:val="both"/>
        <w:rPr>
          <w:rFonts w:ascii="Times New Roman" w:hAnsi="Times New Roman"/>
          <w:bCs/>
          <w:color w:val="000000" w:themeColor="text1"/>
          <w:sz w:val="24"/>
          <w:szCs w:val="24"/>
        </w:rPr>
      </w:pPr>
      <w:r w:rsidRPr="00C04FCD">
        <w:rPr>
          <w:rFonts w:ascii="Times New Roman" w:hAnsi="Times New Roman"/>
          <w:bCs/>
          <w:color w:val="000000" w:themeColor="text1"/>
          <w:sz w:val="24"/>
          <w:szCs w:val="24"/>
        </w:rPr>
        <w:t>Selain dari aspek regulasi, kasus ini juga</w:t>
      </w:r>
      <w:r w:rsidR="00156A8A">
        <w:rPr>
          <w:rFonts w:ascii="Times New Roman" w:hAnsi="Times New Roman"/>
          <w:bCs/>
          <w:color w:val="000000" w:themeColor="text1"/>
          <w:sz w:val="24"/>
          <w:szCs w:val="24"/>
        </w:rPr>
        <w:t xml:space="preserve"> m</w:t>
      </w:r>
      <w:r w:rsidRPr="00156A8A">
        <w:rPr>
          <w:rFonts w:ascii="Times New Roman" w:hAnsi="Times New Roman"/>
          <w:bCs/>
          <w:color w:val="000000" w:themeColor="text1"/>
          <w:sz w:val="24"/>
          <w:szCs w:val="24"/>
        </w:rPr>
        <w:t xml:space="preserve">endorong pembaruan dalam penerapan </w:t>
      </w:r>
      <w:r w:rsidR="00156A8A">
        <w:rPr>
          <w:rFonts w:ascii="Times New Roman" w:hAnsi="Times New Roman"/>
          <w:bCs/>
          <w:color w:val="000000" w:themeColor="text1"/>
          <w:sz w:val="24"/>
          <w:szCs w:val="24"/>
        </w:rPr>
        <w:t>p</w:t>
      </w:r>
      <w:r w:rsidRPr="00156A8A">
        <w:rPr>
          <w:rFonts w:ascii="Times New Roman" w:hAnsi="Times New Roman"/>
          <w:bCs/>
          <w:color w:val="000000" w:themeColor="text1"/>
          <w:sz w:val="24"/>
          <w:szCs w:val="24"/>
        </w:rPr>
        <w:t>ertanggungjawaban hukum terhadap korporasi.</w:t>
      </w:r>
      <w:r w:rsidR="00156A8A">
        <w:rPr>
          <w:rFonts w:ascii="Times New Roman" w:hAnsi="Times New Roman"/>
          <w:bCs/>
          <w:color w:val="000000" w:themeColor="text1"/>
          <w:sz w:val="24"/>
          <w:szCs w:val="24"/>
        </w:rPr>
        <w:t xml:space="preserve"> </w:t>
      </w:r>
      <w:r w:rsidRPr="00156A8A">
        <w:rPr>
          <w:rFonts w:ascii="Times New Roman" w:hAnsi="Times New Roman"/>
          <w:bCs/>
          <w:color w:val="000000" w:themeColor="text1"/>
          <w:sz w:val="24"/>
          <w:szCs w:val="24"/>
        </w:rPr>
        <w:t xml:space="preserve">Keberadaan Undang-Undang Nomor 7 Tahun 2021 Tentang Harmonisasi Peraturan Perpajakan menjadi </w:t>
      </w:r>
      <w:r w:rsidR="00156A8A">
        <w:rPr>
          <w:rFonts w:ascii="Times New Roman" w:hAnsi="Times New Roman"/>
          <w:bCs/>
          <w:color w:val="000000" w:themeColor="text1"/>
          <w:sz w:val="24"/>
          <w:szCs w:val="24"/>
        </w:rPr>
        <w:t>s</w:t>
      </w:r>
      <w:r w:rsidRPr="00156A8A">
        <w:rPr>
          <w:rFonts w:ascii="Times New Roman" w:hAnsi="Times New Roman"/>
          <w:bCs/>
          <w:color w:val="000000" w:themeColor="text1"/>
          <w:sz w:val="24"/>
          <w:szCs w:val="24"/>
        </w:rPr>
        <w:t>alah satu langkah pemerintah dalam memperbaiki</w:t>
      </w:r>
      <w:r w:rsidR="00156A8A">
        <w:rPr>
          <w:rFonts w:ascii="Times New Roman" w:hAnsi="Times New Roman"/>
          <w:bCs/>
          <w:color w:val="000000" w:themeColor="text1"/>
          <w:sz w:val="24"/>
          <w:szCs w:val="24"/>
        </w:rPr>
        <w:t xml:space="preserve"> s</w:t>
      </w:r>
      <w:r w:rsidRPr="00156A8A">
        <w:rPr>
          <w:rFonts w:ascii="Times New Roman" w:hAnsi="Times New Roman"/>
          <w:bCs/>
          <w:color w:val="000000" w:themeColor="text1"/>
          <w:sz w:val="24"/>
          <w:szCs w:val="24"/>
        </w:rPr>
        <w:t xml:space="preserve">istem perpajakan nasional, terutama dalam </w:t>
      </w:r>
      <w:r w:rsidR="00156A8A">
        <w:rPr>
          <w:rFonts w:ascii="Times New Roman" w:hAnsi="Times New Roman"/>
          <w:bCs/>
          <w:color w:val="000000" w:themeColor="text1"/>
          <w:sz w:val="24"/>
          <w:szCs w:val="24"/>
        </w:rPr>
        <w:t>m</w:t>
      </w:r>
      <w:r w:rsidRPr="00156A8A">
        <w:rPr>
          <w:rFonts w:ascii="Times New Roman" w:hAnsi="Times New Roman"/>
          <w:bCs/>
          <w:color w:val="000000" w:themeColor="text1"/>
          <w:sz w:val="24"/>
          <w:szCs w:val="24"/>
        </w:rPr>
        <w:t xml:space="preserve">emberikan sanksi yang lebih tegas kepada wajib </w:t>
      </w:r>
      <w:r w:rsidR="00156A8A">
        <w:rPr>
          <w:rFonts w:ascii="Times New Roman" w:hAnsi="Times New Roman"/>
          <w:bCs/>
          <w:color w:val="000000" w:themeColor="text1"/>
          <w:sz w:val="24"/>
          <w:szCs w:val="24"/>
        </w:rPr>
        <w:t>p</w:t>
      </w:r>
      <w:r w:rsidRPr="00156A8A">
        <w:rPr>
          <w:rFonts w:ascii="Times New Roman" w:hAnsi="Times New Roman"/>
          <w:bCs/>
          <w:color w:val="000000" w:themeColor="text1"/>
          <w:sz w:val="24"/>
          <w:szCs w:val="24"/>
        </w:rPr>
        <w:t xml:space="preserve">ajak yang melakukan pelanggaran. Namun, </w:t>
      </w:r>
      <w:r w:rsidR="00156A8A">
        <w:rPr>
          <w:rFonts w:ascii="Times New Roman" w:hAnsi="Times New Roman"/>
          <w:bCs/>
          <w:color w:val="000000" w:themeColor="text1"/>
          <w:sz w:val="24"/>
          <w:szCs w:val="24"/>
        </w:rPr>
        <w:t>e</w:t>
      </w:r>
      <w:r w:rsidRPr="00156A8A">
        <w:rPr>
          <w:rFonts w:ascii="Times New Roman" w:hAnsi="Times New Roman"/>
          <w:bCs/>
          <w:color w:val="000000" w:themeColor="text1"/>
          <w:sz w:val="24"/>
          <w:szCs w:val="24"/>
        </w:rPr>
        <w:t xml:space="preserve">fektivitas undang-undang ini masih harus diuji </w:t>
      </w:r>
      <w:r w:rsidR="00156A8A">
        <w:rPr>
          <w:rFonts w:ascii="Times New Roman" w:hAnsi="Times New Roman"/>
          <w:bCs/>
          <w:color w:val="000000" w:themeColor="text1"/>
          <w:sz w:val="24"/>
          <w:szCs w:val="24"/>
        </w:rPr>
        <w:t>d</w:t>
      </w:r>
      <w:r w:rsidRPr="00156A8A">
        <w:rPr>
          <w:rFonts w:ascii="Times New Roman" w:hAnsi="Times New Roman"/>
          <w:bCs/>
          <w:color w:val="000000" w:themeColor="text1"/>
          <w:sz w:val="24"/>
          <w:szCs w:val="24"/>
        </w:rPr>
        <w:t xml:space="preserve">alam implementasinya, terutama dalam memastikan </w:t>
      </w:r>
      <w:r w:rsidR="00524B33">
        <w:rPr>
          <w:rFonts w:ascii="Times New Roman" w:hAnsi="Times New Roman"/>
          <w:bCs/>
          <w:color w:val="000000" w:themeColor="text1"/>
          <w:sz w:val="24"/>
          <w:szCs w:val="24"/>
        </w:rPr>
        <w:t>b</w:t>
      </w:r>
      <w:r w:rsidRPr="00524B33">
        <w:rPr>
          <w:rFonts w:ascii="Times New Roman" w:hAnsi="Times New Roman"/>
          <w:bCs/>
          <w:color w:val="000000" w:themeColor="text1"/>
          <w:sz w:val="24"/>
          <w:szCs w:val="24"/>
        </w:rPr>
        <w:t xml:space="preserve">ahwa individu-individu yang bertanggung jawab </w:t>
      </w:r>
      <w:r w:rsidR="00524B33">
        <w:rPr>
          <w:rFonts w:ascii="Times New Roman" w:hAnsi="Times New Roman"/>
          <w:bCs/>
          <w:color w:val="000000" w:themeColor="text1"/>
          <w:sz w:val="24"/>
          <w:szCs w:val="24"/>
        </w:rPr>
        <w:t>a</w:t>
      </w:r>
      <w:r w:rsidRPr="00524B33">
        <w:rPr>
          <w:rFonts w:ascii="Times New Roman" w:hAnsi="Times New Roman"/>
          <w:bCs/>
          <w:color w:val="000000" w:themeColor="text1"/>
          <w:sz w:val="24"/>
          <w:szCs w:val="24"/>
        </w:rPr>
        <w:t xml:space="preserve">tas pengelolaan keuangan perusahaan dapat </w:t>
      </w:r>
      <w:r w:rsidR="00524B33">
        <w:rPr>
          <w:rFonts w:ascii="Times New Roman" w:hAnsi="Times New Roman"/>
          <w:bCs/>
          <w:color w:val="000000" w:themeColor="text1"/>
          <w:sz w:val="24"/>
          <w:szCs w:val="24"/>
        </w:rPr>
        <w:t>d</w:t>
      </w:r>
      <w:r w:rsidRPr="00524B33">
        <w:rPr>
          <w:rFonts w:ascii="Times New Roman" w:hAnsi="Times New Roman"/>
          <w:bCs/>
          <w:color w:val="000000" w:themeColor="text1"/>
          <w:sz w:val="24"/>
          <w:szCs w:val="24"/>
        </w:rPr>
        <w:t xml:space="preserve">ikenakan sanksi yang sesuai. Dengan adanya </w:t>
      </w:r>
      <w:r w:rsidR="00524B33">
        <w:rPr>
          <w:rFonts w:ascii="Times New Roman" w:hAnsi="Times New Roman"/>
          <w:bCs/>
          <w:color w:val="000000" w:themeColor="text1"/>
          <w:sz w:val="24"/>
          <w:szCs w:val="24"/>
        </w:rPr>
        <w:t>r</w:t>
      </w:r>
      <w:r w:rsidRPr="00524B33">
        <w:rPr>
          <w:rFonts w:ascii="Times New Roman" w:hAnsi="Times New Roman"/>
          <w:bCs/>
          <w:color w:val="000000" w:themeColor="text1"/>
          <w:sz w:val="24"/>
          <w:szCs w:val="24"/>
        </w:rPr>
        <w:t xml:space="preserve">eformasi kebijakan dan peningkatan sistem </w:t>
      </w:r>
      <w:r w:rsidR="00492DDF">
        <w:rPr>
          <w:rFonts w:ascii="Times New Roman" w:hAnsi="Times New Roman"/>
          <w:bCs/>
          <w:color w:val="000000" w:themeColor="text1"/>
          <w:sz w:val="24"/>
          <w:szCs w:val="24"/>
        </w:rPr>
        <w:t>p</w:t>
      </w:r>
      <w:r w:rsidRPr="00492DDF">
        <w:rPr>
          <w:rFonts w:ascii="Times New Roman" w:hAnsi="Times New Roman"/>
          <w:bCs/>
          <w:color w:val="000000" w:themeColor="text1"/>
          <w:sz w:val="24"/>
          <w:szCs w:val="24"/>
        </w:rPr>
        <w:t xml:space="preserve">engawasan pajak, diharapkan kepatuhan pajak di Indonesia dapat meningkat dan mencegah </w:t>
      </w:r>
      <w:r w:rsidR="00D320F1">
        <w:rPr>
          <w:rFonts w:ascii="Times New Roman" w:hAnsi="Times New Roman"/>
          <w:bCs/>
          <w:color w:val="000000" w:themeColor="text1"/>
          <w:sz w:val="24"/>
          <w:szCs w:val="24"/>
        </w:rPr>
        <w:t>t</w:t>
      </w:r>
      <w:r w:rsidRPr="00D320F1">
        <w:rPr>
          <w:rFonts w:ascii="Times New Roman" w:hAnsi="Times New Roman"/>
          <w:bCs/>
          <w:color w:val="000000" w:themeColor="text1"/>
          <w:sz w:val="24"/>
          <w:szCs w:val="24"/>
        </w:rPr>
        <w:t>erulangnya kasus serupa di masa depan.</w:t>
      </w:r>
    </w:p>
    <w:p w14:paraId="50EB1482" w14:textId="77777777" w:rsidR="00235F73" w:rsidRPr="00235F73" w:rsidRDefault="00235F73" w:rsidP="00235F73">
      <w:pPr>
        <w:pStyle w:val="ListParagraph"/>
        <w:spacing w:after="0" w:line="360" w:lineRule="auto"/>
        <w:ind w:firstLine="720"/>
        <w:jc w:val="both"/>
        <w:rPr>
          <w:rFonts w:ascii="Times New Roman" w:hAnsi="Times New Roman"/>
          <w:bCs/>
          <w:color w:val="000000" w:themeColor="text1"/>
          <w:sz w:val="24"/>
          <w:szCs w:val="24"/>
        </w:rPr>
      </w:pPr>
    </w:p>
    <w:p w14:paraId="6F8A3B7D" w14:textId="28E6166D" w:rsidR="009D011A" w:rsidRPr="00235F73" w:rsidRDefault="009D011A" w:rsidP="003B2402">
      <w:pPr>
        <w:spacing w:after="0" w:line="360" w:lineRule="auto"/>
        <w:rPr>
          <w:rFonts w:ascii="Times New Roman" w:hAnsi="Times New Roman"/>
          <w:b/>
          <w:color w:val="4F81BD" w:themeColor="accent1"/>
          <w:sz w:val="24"/>
          <w:szCs w:val="24"/>
        </w:rPr>
      </w:pPr>
      <w:r>
        <w:rPr>
          <w:rFonts w:ascii="Times New Roman" w:hAnsi="Times New Roman"/>
          <w:b/>
          <w:color w:val="000000" w:themeColor="text1"/>
          <w:sz w:val="24"/>
          <w:szCs w:val="24"/>
        </w:rPr>
        <w:t>PENUTUP</w:t>
      </w:r>
      <w:r w:rsidR="00B142D6" w:rsidRPr="004B2D63">
        <w:rPr>
          <w:rFonts w:ascii="Times New Roman" w:hAnsi="Times New Roman"/>
          <w:b/>
          <w:color w:val="000000" w:themeColor="text1"/>
          <w:sz w:val="24"/>
          <w:szCs w:val="24"/>
          <w:lang w:val="id-ID"/>
        </w:rPr>
        <w:t xml:space="preserve"> </w:t>
      </w:r>
    </w:p>
    <w:p w14:paraId="4DC745AA" w14:textId="77777777" w:rsidR="00C87C5F" w:rsidRDefault="00733C29" w:rsidP="00C87C5F">
      <w:pPr>
        <w:spacing w:after="0" w:line="360" w:lineRule="auto"/>
        <w:rPr>
          <w:rFonts w:ascii="Times New Roman" w:hAnsi="Times New Roman"/>
          <w:b/>
          <w:color w:val="4F81BD" w:themeColor="accent1"/>
          <w:sz w:val="24"/>
          <w:szCs w:val="24"/>
        </w:rPr>
      </w:pPr>
      <w:r w:rsidRPr="004B2D63">
        <w:rPr>
          <w:rFonts w:ascii="Times New Roman" w:hAnsi="Times New Roman"/>
          <w:b/>
          <w:color w:val="000000" w:themeColor="text1"/>
          <w:sz w:val="24"/>
          <w:szCs w:val="24"/>
        </w:rPr>
        <w:t>KESIMPULAN</w:t>
      </w:r>
    </w:p>
    <w:p w14:paraId="6A652D74" w14:textId="77777777" w:rsidR="00CD7B98" w:rsidRDefault="00C87C5F" w:rsidP="00CD7B98">
      <w:pPr>
        <w:spacing w:after="0" w:line="360" w:lineRule="auto"/>
        <w:ind w:firstLine="720"/>
        <w:jc w:val="both"/>
        <w:rPr>
          <w:rFonts w:ascii="Times New Roman" w:hAnsi="Times New Roman"/>
          <w:color w:val="000000" w:themeColor="text1"/>
          <w:sz w:val="24"/>
          <w:szCs w:val="24"/>
        </w:rPr>
      </w:pPr>
      <w:r w:rsidRPr="00CD7B98">
        <w:rPr>
          <w:rFonts w:ascii="Times New Roman" w:hAnsi="Times New Roman"/>
          <w:color w:val="000000" w:themeColor="text1"/>
          <w:sz w:val="24"/>
          <w:szCs w:val="24"/>
          <w:lang w:val="id-ID"/>
        </w:rPr>
        <w:t xml:space="preserve">Kasus penggelapan pajak oleh PT. Asian Agri Group (AAG) mencerminkan kompleksitas </w:t>
      </w:r>
      <w:r w:rsidR="006152D5" w:rsidRPr="00CD7B98">
        <w:rPr>
          <w:rFonts w:ascii="Times New Roman" w:hAnsi="Times New Roman"/>
          <w:color w:val="000000" w:themeColor="text1"/>
          <w:sz w:val="24"/>
          <w:szCs w:val="24"/>
        </w:rPr>
        <w:t>p</w:t>
      </w:r>
      <w:r w:rsidRPr="00CD7B98">
        <w:rPr>
          <w:rFonts w:ascii="Times New Roman" w:hAnsi="Times New Roman"/>
          <w:color w:val="000000" w:themeColor="text1"/>
          <w:sz w:val="24"/>
          <w:szCs w:val="24"/>
          <w:lang w:val="id-ID"/>
        </w:rPr>
        <w:t xml:space="preserve">enegakan hukum di bidang perpajakan, khususnya </w:t>
      </w:r>
      <w:r w:rsidR="006152D5" w:rsidRPr="00CD7B98">
        <w:rPr>
          <w:rFonts w:ascii="Times New Roman" w:hAnsi="Times New Roman"/>
          <w:color w:val="000000" w:themeColor="text1"/>
          <w:sz w:val="24"/>
          <w:szCs w:val="24"/>
        </w:rPr>
        <w:t>d</w:t>
      </w:r>
      <w:r w:rsidRPr="00CD7B98">
        <w:rPr>
          <w:rFonts w:ascii="Times New Roman" w:hAnsi="Times New Roman"/>
          <w:color w:val="000000" w:themeColor="text1"/>
          <w:sz w:val="24"/>
          <w:szCs w:val="24"/>
          <w:lang w:val="id-ID"/>
        </w:rPr>
        <w:t xml:space="preserve">alam hal pertanggungjawaban pidana korporasi. Putusan Mahkamah Agung yang menjatuhkan denda </w:t>
      </w:r>
      <w:r w:rsidR="006152D5" w:rsidRPr="00CD7B98">
        <w:rPr>
          <w:rFonts w:ascii="Times New Roman" w:hAnsi="Times New Roman"/>
          <w:color w:val="000000" w:themeColor="text1"/>
          <w:sz w:val="24"/>
          <w:szCs w:val="24"/>
        </w:rPr>
        <w:t>d</w:t>
      </w:r>
      <w:r w:rsidRPr="00CD7B98">
        <w:rPr>
          <w:rFonts w:ascii="Times New Roman" w:hAnsi="Times New Roman"/>
          <w:color w:val="000000" w:themeColor="text1"/>
          <w:sz w:val="24"/>
          <w:szCs w:val="24"/>
          <w:lang w:val="id-ID"/>
        </w:rPr>
        <w:t xml:space="preserve">alam jumlah besar terhadap AAG menunjukkan </w:t>
      </w:r>
      <w:r w:rsidR="00372E87" w:rsidRPr="00CD7B98">
        <w:rPr>
          <w:rFonts w:ascii="Times New Roman" w:hAnsi="Times New Roman"/>
          <w:color w:val="000000" w:themeColor="text1"/>
          <w:sz w:val="24"/>
          <w:szCs w:val="24"/>
        </w:rPr>
        <w:t>a</w:t>
      </w:r>
      <w:r w:rsidRPr="00CD7B98">
        <w:rPr>
          <w:rFonts w:ascii="Times New Roman" w:hAnsi="Times New Roman"/>
          <w:color w:val="000000" w:themeColor="text1"/>
          <w:sz w:val="24"/>
          <w:szCs w:val="24"/>
          <w:lang w:val="id-ID"/>
        </w:rPr>
        <w:t xml:space="preserve">danya kemajuan dalam aspek sanksi administratif, </w:t>
      </w:r>
      <w:r w:rsidR="00372E87" w:rsidRPr="00CD7B98">
        <w:rPr>
          <w:rFonts w:ascii="Times New Roman" w:hAnsi="Times New Roman"/>
          <w:color w:val="000000" w:themeColor="text1"/>
          <w:sz w:val="24"/>
          <w:szCs w:val="24"/>
        </w:rPr>
        <w:t>n</w:t>
      </w:r>
      <w:r w:rsidRPr="00CD7B98">
        <w:rPr>
          <w:rFonts w:ascii="Times New Roman" w:hAnsi="Times New Roman"/>
          <w:color w:val="000000" w:themeColor="text1"/>
          <w:sz w:val="24"/>
          <w:szCs w:val="24"/>
          <w:lang w:val="id-ID"/>
        </w:rPr>
        <w:t xml:space="preserve">amun juga sekaligus mengungkap kelemahan dalam </w:t>
      </w:r>
      <w:r w:rsidR="00372E87" w:rsidRPr="00CD7B98">
        <w:rPr>
          <w:rFonts w:ascii="Times New Roman" w:hAnsi="Times New Roman"/>
          <w:color w:val="000000" w:themeColor="text1"/>
          <w:sz w:val="24"/>
          <w:szCs w:val="24"/>
        </w:rPr>
        <w:t>p</w:t>
      </w:r>
      <w:r w:rsidRPr="00CD7B98">
        <w:rPr>
          <w:rFonts w:ascii="Times New Roman" w:hAnsi="Times New Roman"/>
          <w:color w:val="000000" w:themeColor="text1"/>
          <w:sz w:val="24"/>
          <w:szCs w:val="24"/>
          <w:lang w:val="id-ID"/>
        </w:rPr>
        <w:t xml:space="preserve">ertanggungjawaban individu-individu yang berada </w:t>
      </w:r>
      <w:r w:rsidR="00372E87" w:rsidRPr="00CD7B98">
        <w:rPr>
          <w:rFonts w:ascii="Times New Roman" w:hAnsi="Times New Roman"/>
          <w:color w:val="000000" w:themeColor="text1"/>
          <w:sz w:val="24"/>
          <w:szCs w:val="24"/>
        </w:rPr>
        <w:t>d</w:t>
      </w:r>
      <w:r w:rsidRPr="00CD7B98">
        <w:rPr>
          <w:rFonts w:ascii="Times New Roman" w:hAnsi="Times New Roman"/>
          <w:color w:val="000000" w:themeColor="text1"/>
          <w:sz w:val="24"/>
          <w:szCs w:val="24"/>
          <w:lang w:val="id-ID"/>
        </w:rPr>
        <w:t xml:space="preserve">i balik keputusan manajerial perusahaan. Ketidakjelasan batas antara tanggung jawab badan </w:t>
      </w:r>
      <w:r w:rsidR="00372E87" w:rsidRPr="00CD7B98">
        <w:rPr>
          <w:rFonts w:ascii="Times New Roman" w:hAnsi="Times New Roman"/>
          <w:color w:val="000000" w:themeColor="text1"/>
          <w:sz w:val="24"/>
          <w:szCs w:val="24"/>
        </w:rPr>
        <w:lastRenderedPageBreak/>
        <w:t>h</w:t>
      </w:r>
      <w:r w:rsidRPr="00CD7B98">
        <w:rPr>
          <w:rFonts w:ascii="Times New Roman" w:hAnsi="Times New Roman"/>
          <w:color w:val="000000" w:themeColor="text1"/>
          <w:sz w:val="24"/>
          <w:szCs w:val="24"/>
          <w:lang w:val="id-ID"/>
        </w:rPr>
        <w:t xml:space="preserve">ukum dan pengurusnya masih menjadi kendala </w:t>
      </w:r>
      <w:r w:rsidR="00372E87" w:rsidRPr="00CD7B98">
        <w:rPr>
          <w:rFonts w:ascii="Times New Roman" w:hAnsi="Times New Roman"/>
          <w:color w:val="000000" w:themeColor="text1"/>
          <w:sz w:val="24"/>
          <w:szCs w:val="24"/>
        </w:rPr>
        <w:t>d</w:t>
      </w:r>
      <w:r w:rsidRPr="00CD7B98">
        <w:rPr>
          <w:rFonts w:ascii="Times New Roman" w:hAnsi="Times New Roman"/>
          <w:color w:val="000000" w:themeColor="text1"/>
          <w:sz w:val="24"/>
          <w:szCs w:val="24"/>
          <w:lang w:val="id-ID"/>
        </w:rPr>
        <w:t xml:space="preserve">alam menjerat pelaku utama tindak pidana </w:t>
      </w:r>
      <w:r w:rsidR="00372E87" w:rsidRPr="00CD7B98">
        <w:rPr>
          <w:rFonts w:ascii="Times New Roman" w:hAnsi="Times New Roman"/>
          <w:color w:val="000000" w:themeColor="text1"/>
          <w:sz w:val="24"/>
          <w:szCs w:val="24"/>
        </w:rPr>
        <w:t>p</w:t>
      </w:r>
      <w:r w:rsidRPr="00CD7B98">
        <w:rPr>
          <w:rFonts w:ascii="Times New Roman" w:hAnsi="Times New Roman"/>
          <w:color w:val="000000" w:themeColor="text1"/>
          <w:sz w:val="24"/>
          <w:szCs w:val="24"/>
          <w:lang w:val="id-ID"/>
        </w:rPr>
        <w:t>erpajakan secara efektif.</w:t>
      </w:r>
    </w:p>
    <w:p w14:paraId="08DE0816" w14:textId="77777777" w:rsidR="00CD7B98" w:rsidRDefault="00C87C5F" w:rsidP="00CD7B98">
      <w:pPr>
        <w:spacing w:after="0" w:line="360" w:lineRule="auto"/>
        <w:ind w:firstLine="720"/>
        <w:jc w:val="both"/>
        <w:rPr>
          <w:rFonts w:ascii="Times New Roman" w:hAnsi="Times New Roman"/>
          <w:color w:val="000000" w:themeColor="text1"/>
          <w:sz w:val="24"/>
          <w:szCs w:val="24"/>
        </w:rPr>
      </w:pPr>
      <w:r w:rsidRPr="00CD7B98">
        <w:rPr>
          <w:rFonts w:ascii="Times New Roman" w:hAnsi="Times New Roman"/>
          <w:color w:val="000000" w:themeColor="text1"/>
          <w:sz w:val="24"/>
          <w:szCs w:val="24"/>
          <w:lang w:val="id-ID"/>
        </w:rPr>
        <w:t xml:space="preserve">Dalam sistem hukum pidana Indonesia, </w:t>
      </w:r>
      <w:r w:rsidR="00B137CE" w:rsidRPr="00CD7B98">
        <w:rPr>
          <w:rFonts w:ascii="Times New Roman" w:hAnsi="Times New Roman"/>
          <w:color w:val="000000" w:themeColor="text1"/>
          <w:sz w:val="24"/>
          <w:szCs w:val="24"/>
        </w:rPr>
        <w:t>p</w:t>
      </w:r>
      <w:r w:rsidRPr="00CD7B98">
        <w:rPr>
          <w:rFonts w:ascii="Times New Roman" w:hAnsi="Times New Roman"/>
          <w:color w:val="000000" w:themeColor="text1"/>
          <w:sz w:val="24"/>
          <w:szCs w:val="24"/>
          <w:lang w:val="id-ID"/>
        </w:rPr>
        <w:t xml:space="preserve">ertanggungjawaban pidana korporasi dibagi ke </w:t>
      </w:r>
      <w:r w:rsidR="00B137CE" w:rsidRPr="00CD7B98">
        <w:rPr>
          <w:rFonts w:ascii="Times New Roman" w:hAnsi="Times New Roman"/>
          <w:color w:val="000000" w:themeColor="text1"/>
          <w:sz w:val="24"/>
          <w:szCs w:val="24"/>
        </w:rPr>
        <w:t>d</w:t>
      </w:r>
      <w:r w:rsidRPr="00CD7B98">
        <w:rPr>
          <w:rFonts w:ascii="Times New Roman" w:hAnsi="Times New Roman"/>
          <w:color w:val="000000" w:themeColor="text1"/>
          <w:sz w:val="24"/>
          <w:szCs w:val="24"/>
          <w:lang w:val="id-ID"/>
        </w:rPr>
        <w:t>alam tiga pendekatan utama, yaitu: (1) pengurus</w:t>
      </w:r>
      <w:r w:rsidR="00B137CE" w:rsidRPr="00CD7B98">
        <w:rPr>
          <w:rFonts w:ascii="Times New Roman" w:hAnsi="Times New Roman"/>
          <w:color w:val="000000" w:themeColor="text1"/>
          <w:sz w:val="24"/>
          <w:szCs w:val="24"/>
          <w:lang w:val="id-ID"/>
        </w:rPr>
        <w:t xml:space="preserve"> s</w:t>
      </w:r>
      <w:r w:rsidRPr="00CD7B98">
        <w:rPr>
          <w:rFonts w:ascii="Times New Roman" w:hAnsi="Times New Roman"/>
          <w:color w:val="000000" w:themeColor="text1"/>
          <w:sz w:val="24"/>
          <w:szCs w:val="24"/>
          <w:lang w:val="id-ID"/>
        </w:rPr>
        <w:t xml:space="preserve">ebagai pelaku dan penanggung jawab, (2) korporasi </w:t>
      </w:r>
      <w:r w:rsidR="00B137CE" w:rsidRPr="00CD7B98">
        <w:rPr>
          <w:rFonts w:ascii="Times New Roman" w:hAnsi="Times New Roman"/>
          <w:color w:val="000000" w:themeColor="text1"/>
          <w:sz w:val="24"/>
          <w:szCs w:val="24"/>
        </w:rPr>
        <w:t>s</w:t>
      </w:r>
      <w:r w:rsidRPr="00CD7B98">
        <w:rPr>
          <w:rFonts w:ascii="Times New Roman" w:hAnsi="Times New Roman"/>
          <w:color w:val="000000" w:themeColor="text1"/>
          <w:sz w:val="24"/>
          <w:szCs w:val="24"/>
          <w:lang w:val="id-ID"/>
        </w:rPr>
        <w:t xml:space="preserve">ebagai pelaku namun pengurus sebagai penanggung </w:t>
      </w:r>
      <w:r w:rsidR="00962228" w:rsidRPr="00CD7B98">
        <w:rPr>
          <w:rFonts w:ascii="Times New Roman" w:hAnsi="Times New Roman"/>
          <w:color w:val="000000" w:themeColor="text1"/>
          <w:sz w:val="24"/>
          <w:szCs w:val="24"/>
        </w:rPr>
        <w:t>j</w:t>
      </w:r>
      <w:r w:rsidRPr="00CD7B98">
        <w:rPr>
          <w:rFonts w:ascii="Times New Roman" w:hAnsi="Times New Roman"/>
          <w:color w:val="000000" w:themeColor="text1"/>
          <w:sz w:val="24"/>
          <w:szCs w:val="24"/>
          <w:lang w:val="id-ID"/>
        </w:rPr>
        <w:t>awab, dan (3) korporasi sebagai pelaku sekaligus</w:t>
      </w:r>
      <w:r w:rsidR="00962228" w:rsidRPr="00CD7B98">
        <w:rPr>
          <w:rFonts w:ascii="Times New Roman" w:hAnsi="Times New Roman"/>
          <w:color w:val="000000" w:themeColor="text1"/>
          <w:sz w:val="24"/>
          <w:szCs w:val="24"/>
          <w:lang w:val="id-ID"/>
        </w:rPr>
        <w:t xml:space="preserve"> p</w:t>
      </w:r>
      <w:r w:rsidRPr="00CD7B98">
        <w:rPr>
          <w:rFonts w:ascii="Times New Roman" w:hAnsi="Times New Roman"/>
          <w:color w:val="000000" w:themeColor="text1"/>
          <w:sz w:val="24"/>
          <w:szCs w:val="24"/>
          <w:lang w:val="id-ID"/>
        </w:rPr>
        <w:t xml:space="preserve">enanggung jawab. Ketiga model ini menunjukkan </w:t>
      </w:r>
      <w:r w:rsidR="00962228" w:rsidRPr="00CD7B98">
        <w:rPr>
          <w:rFonts w:ascii="Times New Roman" w:hAnsi="Times New Roman"/>
          <w:color w:val="000000" w:themeColor="text1"/>
          <w:sz w:val="24"/>
          <w:szCs w:val="24"/>
        </w:rPr>
        <w:t>d</w:t>
      </w:r>
      <w:r w:rsidRPr="00CD7B98">
        <w:rPr>
          <w:rFonts w:ascii="Times New Roman" w:hAnsi="Times New Roman"/>
          <w:color w:val="000000" w:themeColor="text1"/>
          <w:sz w:val="24"/>
          <w:szCs w:val="24"/>
          <w:lang w:val="id-ID"/>
        </w:rPr>
        <w:t>inamika pemikiran hukum pidana korporasi yang</w:t>
      </w:r>
      <w:r w:rsidR="00962228" w:rsidRPr="00CD7B98">
        <w:rPr>
          <w:rFonts w:ascii="Times New Roman" w:hAnsi="Times New Roman"/>
          <w:color w:val="000000" w:themeColor="text1"/>
          <w:sz w:val="24"/>
          <w:szCs w:val="24"/>
          <w:lang w:val="id-ID"/>
        </w:rPr>
        <w:t xml:space="preserve"> b</w:t>
      </w:r>
      <w:r w:rsidRPr="00CD7B98">
        <w:rPr>
          <w:rFonts w:ascii="Times New Roman" w:hAnsi="Times New Roman"/>
          <w:color w:val="000000" w:themeColor="text1"/>
          <w:sz w:val="24"/>
          <w:szCs w:val="24"/>
          <w:lang w:val="id-ID"/>
        </w:rPr>
        <w:t>erupaya menyesuaikan dengan realitas praktik</w:t>
      </w:r>
      <w:r w:rsidR="00962228" w:rsidRPr="00CD7B98">
        <w:rPr>
          <w:rFonts w:ascii="Times New Roman" w:hAnsi="Times New Roman"/>
          <w:color w:val="000000" w:themeColor="text1"/>
          <w:sz w:val="24"/>
          <w:szCs w:val="24"/>
          <w:lang w:val="id-ID"/>
        </w:rPr>
        <w:t xml:space="preserve"> b</w:t>
      </w:r>
      <w:r w:rsidRPr="00CD7B98">
        <w:rPr>
          <w:rFonts w:ascii="Times New Roman" w:hAnsi="Times New Roman"/>
          <w:color w:val="000000" w:themeColor="text1"/>
          <w:sz w:val="24"/>
          <w:szCs w:val="24"/>
          <w:lang w:val="id-ID"/>
        </w:rPr>
        <w:t xml:space="preserve">isnis dan kebutuhan perlindungan kepentingan </w:t>
      </w:r>
      <w:r w:rsidR="00962228" w:rsidRPr="00CD7B98">
        <w:rPr>
          <w:rFonts w:ascii="Times New Roman" w:hAnsi="Times New Roman"/>
          <w:color w:val="000000" w:themeColor="text1"/>
          <w:sz w:val="24"/>
          <w:szCs w:val="24"/>
        </w:rPr>
        <w:t>p</w:t>
      </w:r>
      <w:r w:rsidRPr="00CD7B98">
        <w:rPr>
          <w:rFonts w:ascii="Times New Roman" w:hAnsi="Times New Roman"/>
          <w:color w:val="000000" w:themeColor="text1"/>
          <w:sz w:val="24"/>
          <w:szCs w:val="24"/>
          <w:lang w:val="id-ID"/>
        </w:rPr>
        <w:t xml:space="preserve">ublik. Namun demikian, dalam praktiknya, </w:t>
      </w:r>
      <w:r w:rsidR="00962228" w:rsidRPr="00CD7B98">
        <w:rPr>
          <w:rFonts w:ascii="Times New Roman" w:hAnsi="Times New Roman"/>
          <w:color w:val="000000" w:themeColor="text1"/>
          <w:sz w:val="24"/>
          <w:szCs w:val="24"/>
        </w:rPr>
        <w:t>i</w:t>
      </w:r>
      <w:r w:rsidRPr="00CD7B98">
        <w:rPr>
          <w:rFonts w:ascii="Times New Roman" w:hAnsi="Times New Roman"/>
          <w:color w:val="000000" w:themeColor="text1"/>
          <w:sz w:val="24"/>
          <w:szCs w:val="24"/>
          <w:lang w:val="id-ID"/>
        </w:rPr>
        <w:t xml:space="preserve">mplementasi dari sistem-sistem tersebut masih </w:t>
      </w:r>
      <w:r w:rsidR="00962228" w:rsidRPr="00CD7B98">
        <w:rPr>
          <w:rFonts w:ascii="Times New Roman" w:hAnsi="Times New Roman"/>
          <w:color w:val="000000" w:themeColor="text1"/>
          <w:sz w:val="24"/>
          <w:szCs w:val="24"/>
        </w:rPr>
        <w:t>m</w:t>
      </w:r>
      <w:r w:rsidRPr="00CD7B98">
        <w:rPr>
          <w:rFonts w:ascii="Times New Roman" w:hAnsi="Times New Roman"/>
          <w:color w:val="000000" w:themeColor="text1"/>
          <w:sz w:val="24"/>
          <w:szCs w:val="24"/>
          <w:lang w:val="id-ID"/>
        </w:rPr>
        <w:t xml:space="preserve">enghadapi hambatan yuridis dan teknis, </w:t>
      </w:r>
      <w:r w:rsidR="00962228" w:rsidRPr="00CD7B98">
        <w:rPr>
          <w:rFonts w:ascii="Times New Roman" w:hAnsi="Times New Roman"/>
          <w:color w:val="000000" w:themeColor="text1"/>
          <w:sz w:val="24"/>
          <w:szCs w:val="24"/>
          <w:lang w:val="id-ID"/>
        </w:rPr>
        <w:t>khususnya</w:t>
      </w:r>
      <w:r w:rsidR="004333BB" w:rsidRPr="00CD7B98">
        <w:rPr>
          <w:rFonts w:ascii="Times New Roman" w:hAnsi="Times New Roman"/>
          <w:color w:val="000000" w:themeColor="text1"/>
          <w:sz w:val="24"/>
          <w:szCs w:val="24"/>
          <w:lang w:val="id-ID"/>
        </w:rPr>
        <w:t xml:space="preserve"> dalam hal pembuktian dan pelaksanaan pidana terhadap badan hukum.</w:t>
      </w:r>
    </w:p>
    <w:p w14:paraId="1FB9C789" w14:textId="1556FDE3" w:rsidR="00733C29" w:rsidRPr="00C134F0" w:rsidRDefault="004333BB" w:rsidP="00C134F0">
      <w:pPr>
        <w:spacing w:after="0" w:line="360" w:lineRule="auto"/>
        <w:ind w:firstLine="720"/>
        <w:jc w:val="both"/>
        <w:rPr>
          <w:rFonts w:ascii="Times New Roman" w:hAnsi="Times New Roman"/>
          <w:color w:val="000000" w:themeColor="text1"/>
          <w:sz w:val="24"/>
          <w:szCs w:val="24"/>
        </w:rPr>
      </w:pPr>
      <w:r w:rsidRPr="00CD7B98">
        <w:rPr>
          <w:rFonts w:ascii="Times New Roman" w:hAnsi="Times New Roman"/>
          <w:color w:val="000000" w:themeColor="text1"/>
          <w:sz w:val="24"/>
          <w:szCs w:val="24"/>
          <w:lang w:val="id-ID"/>
        </w:rPr>
        <w:t>Kasus AAG juga memberikan implikasi penting bagi pembaruan sistem perpajakan nasional, terutama dalam penguatan regulasi, peningkatan transparansi, serta efektivitas pengawasan terhadap wajib pajak badan usaha. Adanya Undang-Undang Nomor 7 Tahun 2021 tentang Harmonisasi Peraturan Perpajakan merupakan langkah legislasi yang relevan, namun efektivitasnya masih perlu diuji melalui praktik penegakan hukum yang konsisten dan berkeadilan</w:t>
      </w:r>
      <w:r w:rsidRPr="00CD7B98">
        <w:rPr>
          <w:rFonts w:ascii="Times New Roman" w:hAnsi="Times New Roman"/>
          <w:sz w:val="24"/>
          <w:szCs w:val="24"/>
          <w:lang w:val="id-ID"/>
        </w:rPr>
        <w:t>.</w:t>
      </w:r>
    </w:p>
    <w:p w14:paraId="6F4869D5" w14:textId="552D348E" w:rsidR="00733C29" w:rsidRPr="00733C29" w:rsidRDefault="00733C29" w:rsidP="00733C29">
      <w:pPr>
        <w:spacing w:after="0" w:line="360" w:lineRule="auto"/>
        <w:rPr>
          <w:rFonts w:ascii="Times New Roman" w:hAnsi="Times New Roman"/>
          <w:b/>
          <w:color w:val="4F81BD" w:themeColor="accent1"/>
          <w:sz w:val="24"/>
          <w:szCs w:val="24"/>
        </w:rPr>
      </w:pPr>
      <w:r>
        <w:rPr>
          <w:rFonts w:ascii="Times New Roman" w:hAnsi="Times New Roman"/>
          <w:b/>
          <w:color w:val="000000" w:themeColor="text1"/>
          <w:sz w:val="24"/>
          <w:szCs w:val="24"/>
        </w:rPr>
        <w:t>SARAN</w:t>
      </w:r>
    </w:p>
    <w:p w14:paraId="2F2E55FC" w14:textId="460CB2E3" w:rsidR="00E060BD" w:rsidRDefault="00E060BD" w:rsidP="00673762">
      <w:pPr>
        <w:adjustRightInd w:val="0"/>
        <w:spacing w:after="0" w:line="360" w:lineRule="auto"/>
        <w:ind w:firstLine="720"/>
        <w:jc w:val="both"/>
        <w:rPr>
          <w:rFonts w:ascii="Times New Roman" w:hAnsi="Times New Roman"/>
          <w:sz w:val="24"/>
          <w:szCs w:val="24"/>
        </w:rPr>
      </w:pPr>
      <w:r w:rsidRPr="00673762">
        <w:rPr>
          <w:rFonts w:ascii="Times New Roman" w:hAnsi="Times New Roman"/>
          <w:sz w:val="24"/>
          <w:szCs w:val="24"/>
          <w:lang w:val="id-ID"/>
        </w:rPr>
        <w:t>Kasus penggelapan pajak yang dilakukan o</w:t>
      </w:r>
      <w:r w:rsidRPr="00673762">
        <w:rPr>
          <w:rFonts w:ascii="Times New Roman" w:hAnsi="Times New Roman"/>
          <w:sz w:val="24"/>
          <w:szCs w:val="24"/>
        </w:rPr>
        <w:t xml:space="preserve">leh PT. Asian Agri Group (AAG) memberikan </w:t>
      </w:r>
      <w:r w:rsidRPr="00673762">
        <w:rPr>
          <w:rFonts w:ascii="Times New Roman" w:hAnsi="Times New Roman"/>
          <w:sz w:val="24"/>
          <w:szCs w:val="24"/>
          <w:lang w:val="id-ID"/>
        </w:rPr>
        <w:t>p</w:t>
      </w:r>
      <w:r w:rsidRPr="00673762">
        <w:rPr>
          <w:rFonts w:ascii="Times New Roman" w:hAnsi="Times New Roman"/>
          <w:sz w:val="24"/>
          <w:szCs w:val="24"/>
        </w:rPr>
        <w:t xml:space="preserve">elajaran penting mengenai tantangan dalam </w:t>
      </w:r>
      <w:r w:rsidR="001558D0" w:rsidRPr="00673762">
        <w:rPr>
          <w:rFonts w:ascii="Times New Roman" w:hAnsi="Times New Roman"/>
          <w:sz w:val="24"/>
          <w:szCs w:val="24"/>
          <w:lang w:val="id-ID"/>
        </w:rPr>
        <w:t>p</w:t>
      </w:r>
      <w:r w:rsidRPr="00673762">
        <w:rPr>
          <w:rFonts w:ascii="Times New Roman" w:hAnsi="Times New Roman"/>
          <w:sz w:val="24"/>
          <w:szCs w:val="24"/>
        </w:rPr>
        <w:t xml:space="preserve">enegakan hukum perpajakan di Indonesia dan </w:t>
      </w:r>
      <w:r w:rsidR="001558D0" w:rsidRPr="00673762">
        <w:rPr>
          <w:rFonts w:ascii="Times New Roman" w:hAnsi="Times New Roman"/>
          <w:sz w:val="24"/>
          <w:szCs w:val="24"/>
          <w:lang w:val="id-ID"/>
        </w:rPr>
        <w:t>p</w:t>
      </w:r>
      <w:r w:rsidRPr="00673762">
        <w:rPr>
          <w:rFonts w:ascii="Times New Roman" w:hAnsi="Times New Roman"/>
          <w:sz w:val="24"/>
          <w:szCs w:val="24"/>
        </w:rPr>
        <w:t xml:space="preserve">erlunya reformasi sistem perpajakan yang lebih </w:t>
      </w:r>
      <w:r w:rsidR="001558D0" w:rsidRPr="00673762">
        <w:rPr>
          <w:rFonts w:ascii="Times New Roman" w:hAnsi="Times New Roman"/>
          <w:sz w:val="24"/>
          <w:szCs w:val="24"/>
          <w:lang w:val="id-ID"/>
        </w:rPr>
        <w:t>t</w:t>
      </w:r>
      <w:r w:rsidRPr="00673762">
        <w:rPr>
          <w:rFonts w:ascii="Times New Roman" w:hAnsi="Times New Roman"/>
          <w:sz w:val="24"/>
          <w:szCs w:val="24"/>
        </w:rPr>
        <w:t xml:space="preserve">ransparan dan efektif. Untuk mencegah terulangnya </w:t>
      </w:r>
      <w:r w:rsidR="001558D0" w:rsidRPr="00673762">
        <w:rPr>
          <w:rFonts w:ascii="Times New Roman" w:hAnsi="Times New Roman"/>
          <w:sz w:val="24"/>
          <w:szCs w:val="24"/>
          <w:lang w:val="id-ID"/>
        </w:rPr>
        <w:t>P</w:t>
      </w:r>
      <w:r w:rsidRPr="00673762">
        <w:rPr>
          <w:rFonts w:ascii="Times New Roman" w:hAnsi="Times New Roman"/>
          <w:sz w:val="24"/>
          <w:szCs w:val="24"/>
        </w:rPr>
        <w:t xml:space="preserve">raktik serupa, perlu adanya penguatan penegakan </w:t>
      </w:r>
      <w:r w:rsidR="004D24FC" w:rsidRPr="00673762">
        <w:rPr>
          <w:rFonts w:ascii="Times New Roman" w:hAnsi="Times New Roman"/>
          <w:sz w:val="24"/>
          <w:szCs w:val="24"/>
          <w:lang w:val="id-ID"/>
        </w:rPr>
        <w:t>H</w:t>
      </w:r>
      <w:r w:rsidRPr="00673762">
        <w:rPr>
          <w:rFonts w:ascii="Times New Roman" w:hAnsi="Times New Roman"/>
          <w:sz w:val="24"/>
          <w:szCs w:val="24"/>
        </w:rPr>
        <w:t xml:space="preserve">ukum pidana korporasi dengan menuntut </w:t>
      </w:r>
      <w:r w:rsidR="004D24FC" w:rsidRPr="00673762">
        <w:rPr>
          <w:rFonts w:ascii="Times New Roman" w:hAnsi="Times New Roman"/>
          <w:sz w:val="24"/>
          <w:szCs w:val="24"/>
          <w:lang w:val="id-ID"/>
        </w:rPr>
        <w:t>p</w:t>
      </w:r>
      <w:r w:rsidRPr="00673762">
        <w:rPr>
          <w:rFonts w:ascii="Times New Roman" w:hAnsi="Times New Roman"/>
          <w:sz w:val="24"/>
          <w:szCs w:val="24"/>
        </w:rPr>
        <w:t>ertanggungjawaban yang tegas terhadap individu-</w:t>
      </w:r>
      <w:r w:rsidR="004D24FC" w:rsidRPr="00673762">
        <w:rPr>
          <w:rFonts w:ascii="Times New Roman" w:hAnsi="Times New Roman"/>
          <w:sz w:val="24"/>
          <w:szCs w:val="24"/>
          <w:lang w:val="id-ID"/>
        </w:rPr>
        <w:t>I</w:t>
      </w:r>
      <w:r w:rsidRPr="00673762">
        <w:rPr>
          <w:rFonts w:ascii="Times New Roman" w:hAnsi="Times New Roman"/>
          <w:sz w:val="24"/>
          <w:szCs w:val="24"/>
        </w:rPr>
        <w:t xml:space="preserve">ndividu yang terlibat dalam penggelapan pajak. Selain itu, sistem perpajakan harus terus diperbaiki </w:t>
      </w:r>
      <w:r w:rsidR="004D24FC" w:rsidRPr="00673762">
        <w:rPr>
          <w:rFonts w:ascii="Times New Roman" w:hAnsi="Times New Roman"/>
          <w:sz w:val="24"/>
          <w:szCs w:val="24"/>
          <w:lang w:val="id-ID"/>
        </w:rPr>
        <w:t>d</w:t>
      </w:r>
      <w:r w:rsidRPr="00673762">
        <w:rPr>
          <w:rFonts w:ascii="Times New Roman" w:hAnsi="Times New Roman"/>
          <w:sz w:val="24"/>
          <w:szCs w:val="24"/>
        </w:rPr>
        <w:t xml:space="preserve">engan penerapan teknologi yang mempermudah </w:t>
      </w:r>
      <w:r w:rsidR="00357471" w:rsidRPr="00673762">
        <w:rPr>
          <w:rFonts w:ascii="Times New Roman" w:hAnsi="Times New Roman"/>
          <w:sz w:val="24"/>
          <w:szCs w:val="24"/>
          <w:lang w:val="id-ID"/>
        </w:rPr>
        <w:t>p</w:t>
      </w:r>
      <w:r w:rsidRPr="00673762">
        <w:rPr>
          <w:rFonts w:ascii="Times New Roman" w:hAnsi="Times New Roman"/>
          <w:sz w:val="24"/>
          <w:szCs w:val="24"/>
        </w:rPr>
        <w:t xml:space="preserve">engawasan dan deteksi dini terhadap manipulasi </w:t>
      </w:r>
      <w:r w:rsidR="00357471" w:rsidRPr="00673762">
        <w:rPr>
          <w:rFonts w:ascii="Times New Roman" w:hAnsi="Times New Roman"/>
          <w:sz w:val="24"/>
          <w:szCs w:val="24"/>
          <w:lang w:val="id-ID"/>
        </w:rPr>
        <w:t>k</w:t>
      </w:r>
      <w:r w:rsidRPr="00673762">
        <w:rPr>
          <w:rFonts w:ascii="Times New Roman" w:hAnsi="Times New Roman"/>
          <w:sz w:val="24"/>
          <w:szCs w:val="24"/>
        </w:rPr>
        <w:t xml:space="preserve">euangan, seperti transfer pricing dan pembukuan </w:t>
      </w:r>
      <w:r w:rsidR="00357471" w:rsidRPr="00673762">
        <w:rPr>
          <w:rFonts w:ascii="Times New Roman" w:hAnsi="Times New Roman"/>
          <w:sz w:val="24"/>
          <w:szCs w:val="24"/>
          <w:lang w:val="id-ID"/>
        </w:rPr>
        <w:t>g</w:t>
      </w:r>
      <w:r w:rsidRPr="00673762">
        <w:rPr>
          <w:rFonts w:ascii="Times New Roman" w:hAnsi="Times New Roman"/>
          <w:sz w:val="24"/>
          <w:szCs w:val="24"/>
        </w:rPr>
        <w:t xml:space="preserve">anda. Penguatan regulasi dan sanksi yang lebih </w:t>
      </w:r>
      <w:r w:rsidR="00357471" w:rsidRPr="00673762">
        <w:rPr>
          <w:rFonts w:ascii="Times New Roman" w:hAnsi="Times New Roman"/>
          <w:sz w:val="24"/>
          <w:szCs w:val="24"/>
          <w:lang w:val="id-ID"/>
        </w:rPr>
        <w:t>t</w:t>
      </w:r>
      <w:r w:rsidRPr="00673762">
        <w:rPr>
          <w:rFonts w:ascii="Times New Roman" w:hAnsi="Times New Roman"/>
          <w:sz w:val="24"/>
          <w:szCs w:val="24"/>
        </w:rPr>
        <w:t xml:space="preserve">egas terhadap pelanggaran pajak juga sangat </w:t>
      </w:r>
      <w:r w:rsidR="00357471" w:rsidRPr="00673762">
        <w:rPr>
          <w:rFonts w:ascii="Times New Roman" w:hAnsi="Times New Roman"/>
          <w:sz w:val="24"/>
          <w:szCs w:val="24"/>
          <w:lang w:val="id-ID"/>
        </w:rPr>
        <w:t>d</w:t>
      </w:r>
      <w:r w:rsidRPr="00673762">
        <w:rPr>
          <w:rFonts w:ascii="Times New Roman" w:hAnsi="Times New Roman"/>
          <w:sz w:val="24"/>
          <w:szCs w:val="24"/>
        </w:rPr>
        <w:t xml:space="preserve">iperlukan, serta meningkatkan sosialisasi tentang </w:t>
      </w:r>
      <w:r w:rsidR="00357471" w:rsidRPr="00673762">
        <w:rPr>
          <w:rFonts w:ascii="Times New Roman" w:hAnsi="Times New Roman"/>
          <w:sz w:val="24"/>
          <w:szCs w:val="24"/>
          <w:lang w:val="id-ID"/>
        </w:rPr>
        <w:t>p</w:t>
      </w:r>
      <w:r w:rsidRPr="00673762">
        <w:rPr>
          <w:rFonts w:ascii="Times New Roman" w:hAnsi="Times New Roman"/>
          <w:sz w:val="24"/>
          <w:szCs w:val="24"/>
        </w:rPr>
        <w:t xml:space="preserve">entingnya kepatuhan pajak agar tercipta kesadaran </w:t>
      </w:r>
      <w:r w:rsidR="00DB6975" w:rsidRPr="00673762">
        <w:rPr>
          <w:rFonts w:ascii="Times New Roman" w:hAnsi="Times New Roman"/>
          <w:sz w:val="24"/>
          <w:szCs w:val="24"/>
          <w:lang w:val="id-ID"/>
        </w:rPr>
        <w:t>d</w:t>
      </w:r>
      <w:r w:rsidRPr="00673762">
        <w:rPr>
          <w:rFonts w:ascii="Times New Roman" w:hAnsi="Times New Roman"/>
          <w:sz w:val="24"/>
          <w:szCs w:val="24"/>
        </w:rPr>
        <w:t xml:space="preserve">i kalangan wajib pajak. Penggunaan teknologi, </w:t>
      </w:r>
      <w:r w:rsidR="00DB6975" w:rsidRPr="00673762">
        <w:rPr>
          <w:rFonts w:ascii="Times New Roman" w:hAnsi="Times New Roman"/>
          <w:sz w:val="24"/>
          <w:szCs w:val="24"/>
          <w:lang w:val="id-ID"/>
        </w:rPr>
        <w:t>s</w:t>
      </w:r>
      <w:r w:rsidRPr="00673762">
        <w:rPr>
          <w:rFonts w:ascii="Times New Roman" w:hAnsi="Times New Roman"/>
          <w:sz w:val="24"/>
          <w:szCs w:val="24"/>
        </w:rPr>
        <w:t xml:space="preserve">eperti otomatisasi dan kecerdasan buatan, juga dapat </w:t>
      </w:r>
      <w:r w:rsidR="00DB6975" w:rsidRPr="00673762">
        <w:rPr>
          <w:rFonts w:ascii="Times New Roman" w:hAnsi="Times New Roman"/>
          <w:sz w:val="24"/>
          <w:szCs w:val="24"/>
          <w:lang w:val="id-ID"/>
        </w:rPr>
        <w:t>m</w:t>
      </w:r>
      <w:r w:rsidRPr="00673762">
        <w:rPr>
          <w:rFonts w:ascii="Times New Roman" w:hAnsi="Times New Roman"/>
          <w:sz w:val="24"/>
          <w:szCs w:val="24"/>
        </w:rPr>
        <w:t xml:space="preserve">embantu mendeteksi anomali </w:t>
      </w:r>
      <w:r w:rsidRPr="00673762">
        <w:rPr>
          <w:rFonts w:ascii="Times New Roman" w:hAnsi="Times New Roman"/>
          <w:sz w:val="24"/>
          <w:szCs w:val="24"/>
        </w:rPr>
        <w:lastRenderedPageBreak/>
        <w:t xml:space="preserve">dalam laporan pajak </w:t>
      </w:r>
      <w:r w:rsidR="00DB6975" w:rsidRPr="00673762">
        <w:rPr>
          <w:rFonts w:ascii="Times New Roman" w:hAnsi="Times New Roman"/>
          <w:sz w:val="24"/>
          <w:szCs w:val="24"/>
          <w:lang w:val="id-ID"/>
        </w:rPr>
        <w:t>u</w:t>
      </w:r>
      <w:r w:rsidRPr="00673762">
        <w:rPr>
          <w:rFonts w:ascii="Times New Roman" w:hAnsi="Times New Roman"/>
          <w:sz w:val="24"/>
          <w:szCs w:val="24"/>
        </w:rPr>
        <w:t xml:space="preserve">ntuk mempercepat proses pengawasan. Dengan </w:t>
      </w:r>
      <w:r w:rsidR="00DB6975" w:rsidRPr="00673762">
        <w:rPr>
          <w:rFonts w:ascii="Times New Roman" w:hAnsi="Times New Roman"/>
          <w:sz w:val="24"/>
          <w:szCs w:val="24"/>
          <w:lang w:val="id-ID"/>
        </w:rPr>
        <w:t>l</w:t>
      </w:r>
      <w:r w:rsidRPr="00673762">
        <w:rPr>
          <w:rFonts w:ascii="Times New Roman" w:hAnsi="Times New Roman"/>
          <w:sz w:val="24"/>
          <w:szCs w:val="24"/>
        </w:rPr>
        <w:t xml:space="preserve">angkah-langkah tersebut, diharapkan Indonesia </w:t>
      </w:r>
      <w:r w:rsidR="00DB6975" w:rsidRPr="00673762">
        <w:rPr>
          <w:rFonts w:ascii="Times New Roman" w:hAnsi="Times New Roman"/>
          <w:sz w:val="24"/>
          <w:szCs w:val="24"/>
          <w:lang w:val="id-ID"/>
        </w:rPr>
        <w:t>d</w:t>
      </w:r>
      <w:r w:rsidRPr="00673762">
        <w:rPr>
          <w:rFonts w:ascii="Times New Roman" w:hAnsi="Times New Roman"/>
          <w:sz w:val="24"/>
          <w:szCs w:val="24"/>
        </w:rPr>
        <w:t xml:space="preserve">apat memperkuat sistem perpajakan, menutup celah </w:t>
      </w:r>
      <w:r w:rsidR="00DB6975" w:rsidRPr="00673762">
        <w:rPr>
          <w:rFonts w:ascii="Times New Roman" w:hAnsi="Times New Roman"/>
          <w:sz w:val="24"/>
          <w:szCs w:val="24"/>
          <w:lang w:val="id-ID"/>
        </w:rPr>
        <w:t>h</w:t>
      </w:r>
      <w:r w:rsidRPr="00673762">
        <w:rPr>
          <w:rFonts w:ascii="Times New Roman" w:hAnsi="Times New Roman"/>
          <w:sz w:val="24"/>
          <w:szCs w:val="24"/>
        </w:rPr>
        <w:t xml:space="preserve">ukum, dan meningkatkan kepatuhan pajak, sehingga </w:t>
      </w:r>
      <w:r w:rsidR="00DB6975" w:rsidRPr="00673762">
        <w:rPr>
          <w:rFonts w:ascii="Times New Roman" w:hAnsi="Times New Roman"/>
          <w:sz w:val="24"/>
          <w:szCs w:val="24"/>
          <w:lang w:val="id-ID"/>
        </w:rPr>
        <w:t>k</w:t>
      </w:r>
      <w:r w:rsidRPr="00673762">
        <w:rPr>
          <w:rFonts w:ascii="Times New Roman" w:hAnsi="Times New Roman"/>
          <w:sz w:val="24"/>
          <w:szCs w:val="24"/>
        </w:rPr>
        <w:t xml:space="preserve">erugian negara akibat penggelapan pajak dapat </w:t>
      </w:r>
      <w:r w:rsidR="00DB6975" w:rsidRPr="00673762">
        <w:rPr>
          <w:rFonts w:ascii="Times New Roman" w:hAnsi="Times New Roman"/>
          <w:sz w:val="24"/>
          <w:szCs w:val="24"/>
          <w:lang w:val="id-ID"/>
        </w:rPr>
        <w:t>d</w:t>
      </w:r>
      <w:r w:rsidRPr="00673762">
        <w:rPr>
          <w:rFonts w:ascii="Times New Roman" w:hAnsi="Times New Roman"/>
          <w:sz w:val="24"/>
          <w:szCs w:val="24"/>
        </w:rPr>
        <w:t>iminimalisir.</w:t>
      </w:r>
    </w:p>
    <w:p w14:paraId="4D1CF28F" w14:textId="77777777" w:rsidR="00CB3F7A" w:rsidRPr="00673762" w:rsidRDefault="00CB3F7A" w:rsidP="00673762">
      <w:pPr>
        <w:adjustRightInd w:val="0"/>
        <w:spacing w:after="0" w:line="360" w:lineRule="auto"/>
        <w:ind w:firstLine="720"/>
        <w:jc w:val="both"/>
        <w:rPr>
          <w:rFonts w:ascii="Times New Roman" w:hAnsi="Times New Roman"/>
          <w:sz w:val="24"/>
          <w:szCs w:val="24"/>
          <w:lang w:val="id-ID"/>
        </w:rPr>
      </w:pPr>
    </w:p>
    <w:p w14:paraId="35E2272B" w14:textId="10F22BBF" w:rsidR="00B142D6" w:rsidRDefault="00B142D6" w:rsidP="003B2402">
      <w:pPr>
        <w:widowControl w:val="0"/>
        <w:autoSpaceDE w:val="0"/>
        <w:autoSpaceDN w:val="0"/>
        <w:adjustRightInd w:val="0"/>
        <w:spacing w:after="0" w:line="360" w:lineRule="auto"/>
        <w:jc w:val="both"/>
        <w:rPr>
          <w:rFonts w:ascii="Times New Roman" w:hAnsi="Times New Roman"/>
          <w:b/>
          <w:sz w:val="24"/>
          <w:szCs w:val="24"/>
          <w:lang w:val="id-ID"/>
        </w:rPr>
      </w:pPr>
      <w:r w:rsidRPr="002E0FDC">
        <w:rPr>
          <w:rFonts w:ascii="Times New Roman" w:hAnsi="Times New Roman"/>
          <w:b/>
          <w:sz w:val="24"/>
          <w:szCs w:val="24"/>
          <w:lang w:val="id-ID"/>
        </w:rPr>
        <w:t>REFEREN</w:t>
      </w:r>
      <w:r w:rsidR="00501EF2">
        <w:rPr>
          <w:rFonts w:ascii="Times New Roman" w:hAnsi="Times New Roman"/>
          <w:b/>
          <w:sz w:val="24"/>
          <w:szCs w:val="24"/>
        </w:rPr>
        <w:t>SI</w:t>
      </w:r>
      <w:r w:rsidRPr="002E0FDC">
        <w:rPr>
          <w:rFonts w:ascii="Times New Roman" w:hAnsi="Times New Roman"/>
          <w:b/>
          <w:sz w:val="24"/>
          <w:szCs w:val="24"/>
          <w:lang w:val="id-ID"/>
        </w:rPr>
        <w:t xml:space="preserve"> </w:t>
      </w:r>
    </w:p>
    <w:p w14:paraId="75E00619" w14:textId="56860E9B" w:rsidR="004A1731" w:rsidRDefault="004A1731" w:rsidP="003B2402">
      <w:pPr>
        <w:widowControl w:val="0"/>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lang w:val="id-ID"/>
        </w:rPr>
        <w:t>BUKU</w:t>
      </w:r>
    </w:p>
    <w:p w14:paraId="7B5060F5"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Dr. Khalimi, S.E., S.H., M.M., M. H., and M. H. Moch. Iqbal, S.H. </w:t>
      </w:r>
      <w:r w:rsidRPr="004A1731">
        <w:rPr>
          <w:rFonts w:ascii="Times New Roman" w:hAnsi="Times New Roman"/>
          <w:i/>
          <w:iCs/>
          <w:noProof/>
          <w:sz w:val="24"/>
        </w:rPr>
        <w:t>Hukum Pajak (Teori Dan Praktik)</w:t>
      </w:r>
      <w:r w:rsidRPr="004A1731">
        <w:rPr>
          <w:rFonts w:ascii="Times New Roman" w:hAnsi="Times New Roman"/>
          <w:noProof/>
          <w:sz w:val="24"/>
        </w:rPr>
        <w:t>. Jakarta: CV. Anugrah Utama Raharja, 2013.</w:t>
      </w:r>
    </w:p>
    <w:p w14:paraId="30D77B00"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Prof. Dr. Suteki, S.H., M.Hum, and M.H Galang Taufani, S.H. </w:t>
      </w:r>
      <w:r w:rsidRPr="004A1731">
        <w:rPr>
          <w:rFonts w:ascii="Times New Roman" w:hAnsi="Times New Roman"/>
          <w:i/>
          <w:iCs/>
          <w:noProof/>
          <w:sz w:val="24"/>
        </w:rPr>
        <w:t>Metodologi Penelitian Hukum (Filsafat, Teori, Dan Praktik)</w:t>
      </w:r>
      <w:r w:rsidRPr="004A1731">
        <w:rPr>
          <w:rFonts w:ascii="Times New Roman" w:hAnsi="Times New Roman"/>
          <w:noProof/>
          <w:sz w:val="24"/>
        </w:rPr>
        <w:t>. 3rd ed. Depok: Rajawali Pers, 2020.</w:t>
      </w:r>
    </w:p>
    <w:p w14:paraId="1B3FD80E" w14:textId="6888A4E5" w:rsidR="004A1731" w:rsidRDefault="004A1731" w:rsidP="003B2402">
      <w:pPr>
        <w:widowControl w:val="0"/>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lang w:val="id-ID"/>
        </w:rPr>
        <w:t>JURNAL</w:t>
      </w:r>
    </w:p>
    <w:p w14:paraId="76992131" w14:textId="0961C182" w:rsidR="004A1731" w:rsidRPr="004A1731" w:rsidRDefault="009C07BD"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Pr>
          <w:rFonts w:ascii="Times New Roman" w:hAnsi="Times New Roman"/>
          <w:color w:val="000000"/>
          <w:sz w:val="24"/>
          <w:szCs w:val="24"/>
          <w:lang w:val="pt-BR"/>
        </w:rPr>
        <w:fldChar w:fldCharType="begin" w:fldLock="1"/>
      </w:r>
      <w:r>
        <w:rPr>
          <w:rFonts w:ascii="Times New Roman" w:hAnsi="Times New Roman"/>
          <w:color w:val="000000"/>
          <w:sz w:val="24"/>
          <w:szCs w:val="24"/>
          <w:lang w:val="pt-BR"/>
        </w:rPr>
        <w:instrText xml:space="preserve">ADDIN Mendeley Bibliography CSL_BIBLIOGRAPHY </w:instrText>
      </w:r>
      <w:r>
        <w:rPr>
          <w:rFonts w:ascii="Times New Roman" w:hAnsi="Times New Roman"/>
          <w:color w:val="000000"/>
          <w:sz w:val="24"/>
          <w:szCs w:val="24"/>
          <w:lang w:val="pt-BR"/>
        </w:rPr>
        <w:fldChar w:fldCharType="separate"/>
      </w:r>
      <w:r w:rsidR="004A1731" w:rsidRPr="004A1731">
        <w:rPr>
          <w:rFonts w:ascii="Times New Roman" w:hAnsi="Times New Roman"/>
          <w:noProof/>
          <w:sz w:val="24"/>
        </w:rPr>
        <w:t xml:space="preserve">Anugrah, M Sahib Saesar, and Primandita Fitriandi. “Analisis Kepatuhan Pajak Berdasarkan Theory of Planned Behavior.” </w:t>
      </w:r>
      <w:r w:rsidR="004A1731" w:rsidRPr="004A1731">
        <w:rPr>
          <w:rFonts w:ascii="Times New Roman" w:hAnsi="Times New Roman"/>
          <w:i/>
          <w:iCs/>
          <w:noProof/>
          <w:sz w:val="24"/>
        </w:rPr>
        <w:t>Info Artha</w:t>
      </w:r>
      <w:r w:rsidR="004A1731" w:rsidRPr="004A1731">
        <w:rPr>
          <w:rFonts w:ascii="Times New Roman" w:hAnsi="Times New Roman"/>
          <w:noProof/>
          <w:sz w:val="24"/>
        </w:rPr>
        <w:t xml:space="preserve"> 6, no. 1 (2022): 1–12. https://doi.org/10.31092/jia.v6i1.1388.</w:t>
      </w:r>
    </w:p>
    <w:p w14:paraId="6B9B44F8"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Dewa, Rena Cipta, and Tanudjaja. “Tanggung Jawab Pidana Pada Korporasi Dalam Tindak Pidana Perpajakan Criminal Responsibility of Corporations in Tax Crimes.” </w:t>
      </w:r>
      <w:r w:rsidRPr="004A1731">
        <w:rPr>
          <w:rFonts w:ascii="Times New Roman" w:hAnsi="Times New Roman"/>
          <w:i/>
          <w:iCs/>
          <w:noProof/>
          <w:sz w:val="24"/>
        </w:rPr>
        <w:t>Jurnal Hukum Indonesia</w:t>
      </w:r>
      <w:r w:rsidRPr="004A1731">
        <w:rPr>
          <w:rFonts w:ascii="Times New Roman" w:hAnsi="Times New Roman"/>
          <w:noProof/>
          <w:sz w:val="24"/>
        </w:rPr>
        <w:t xml:space="preserve"> 3, no. 3 (2024): 96–106.</w:t>
      </w:r>
    </w:p>
    <w:p w14:paraId="3EB1CBB7"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Dewan Perwakilan Rakya. Undang-Undang Nomor 7 Tahun 2021 Tentang Harmonisasi Peraturan Perpajakan (n.d.).</w:t>
      </w:r>
    </w:p>
    <w:p w14:paraId="45E0FB6E"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Dewi, Sevi Lestya, and Rachmawati Meita Oktaviani. “Pengaruh Leverage, Capital Intensity, Komisaris Independen Dan Kepemilikan Institusional Terhadap Tax Avoidance.” </w:t>
      </w:r>
      <w:r w:rsidRPr="004A1731">
        <w:rPr>
          <w:rFonts w:ascii="Times New Roman" w:hAnsi="Times New Roman"/>
          <w:i/>
          <w:iCs/>
          <w:noProof/>
          <w:sz w:val="24"/>
        </w:rPr>
        <w:t>Akurasi : Jurnal Studi Akuntansi Dan Keuangan</w:t>
      </w:r>
      <w:r w:rsidRPr="004A1731">
        <w:rPr>
          <w:rFonts w:ascii="Times New Roman" w:hAnsi="Times New Roman"/>
          <w:noProof/>
          <w:sz w:val="24"/>
        </w:rPr>
        <w:t xml:space="preserve"> 4, no. 2 (2021): 179–94. https://doi.org/10.29303/akurasi.v4i2.122.</w:t>
      </w:r>
    </w:p>
    <w:p w14:paraId="0A4EAAB1"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Fitrah, Farrel Alanda, Agus Takariawan, and Zainal Muttaqin. “Kedudukan Penyidik Pegawai Negeri Sipil Direktorat Jenderal Pajak Dalam Kerangka Penegakan Hukum Pidana Perpajakan Di Indonesia.” </w:t>
      </w:r>
      <w:r w:rsidRPr="004A1731">
        <w:rPr>
          <w:rFonts w:ascii="Times New Roman" w:hAnsi="Times New Roman"/>
          <w:i/>
          <w:iCs/>
          <w:noProof/>
          <w:sz w:val="24"/>
        </w:rPr>
        <w:t>SIGn Jurnal Hukum</w:t>
      </w:r>
      <w:r w:rsidRPr="004A1731">
        <w:rPr>
          <w:rFonts w:ascii="Times New Roman" w:hAnsi="Times New Roman"/>
          <w:noProof/>
          <w:sz w:val="24"/>
        </w:rPr>
        <w:t xml:space="preserve"> 3, no. 1 (2021): 1–25. https://doi.org/10.15642/aj.2019.5.1.1-29.</w:t>
      </w:r>
    </w:p>
    <w:p w14:paraId="06F70B71"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Herman, K. M. S., Nurmawati, Bernadete, Iryani, Dewi, &amp; Suhariyanto, Didik. “Tindak Pidana Perpajakan Yang Merugikan Keuangan Negara Atas Penyalahgunaan Transfer Pricing Untuk Penghindaran Pajak.” </w:t>
      </w:r>
      <w:r w:rsidRPr="004A1731">
        <w:rPr>
          <w:rFonts w:ascii="Times New Roman" w:hAnsi="Times New Roman"/>
          <w:i/>
          <w:iCs/>
          <w:noProof/>
          <w:sz w:val="24"/>
        </w:rPr>
        <w:t>JPPI (Jurnal Penelitian Pendidikan Indonesia)</w:t>
      </w:r>
      <w:r w:rsidRPr="004A1731">
        <w:rPr>
          <w:rFonts w:ascii="Times New Roman" w:hAnsi="Times New Roman"/>
          <w:noProof/>
          <w:sz w:val="24"/>
        </w:rPr>
        <w:t xml:space="preserve"> 9, no. 3 (2023): 1523–32.</w:t>
      </w:r>
    </w:p>
    <w:p w14:paraId="4E7E97EF"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Hertanto, Andika Dwi, Amor Marundha, Idel Eprianto, and Cris Kuntadi. “PENGARUH EFFECTIVE TAX RATE, MEKANISME BONUS, DAN TUNNELING INCENTIVE </w:t>
      </w:r>
      <w:r w:rsidRPr="004A1731">
        <w:rPr>
          <w:rFonts w:ascii="Times New Roman" w:hAnsi="Times New Roman"/>
          <w:noProof/>
          <w:sz w:val="24"/>
        </w:rPr>
        <w:lastRenderedPageBreak/>
        <w:t xml:space="preserve">TERHADAP TRANSFER PRICING (Studi Empiris Pada Perusahaan Manufaktur Yang Terdaftar Di Bursa Efek Indonesia Tahun 2017- 2021).” </w:t>
      </w:r>
      <w:r w:rsidRPr="004A1731">
        <w:rPr>
          <w:rFonts w:ascii="Times New Roman" w:hAnsi="Times New Roman"/>
          <w:i/>
          <w:iCs/>
          <w:noProof/>
          <w:sz w:val="24"/>
        </w:rPr>
        <w:t>Jurnal Economina</w:t>
      </w:r>
      <w:r w:rsidRPr="004A1731">
        <w:rPr>
          <w:rFonts w:ascii="Times New Roman" w:hAnsi="Times New Roman"/>
          <w:noProof/>
          <w:sz w:val="24"/>
        </w:rPr>
        <w:t xml:space="preserve"> 2, no. 2 (2023): 503–22. https://doi.org/10.55681/economina.v2i2.328.</w:t>
      </w:r>
    </w:p>
    <w:p w14:paraId="69979A44"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Ilanoputri, Salsabila Aufadhia. “Pelayanan Yang Diterima Oleh Masyarakat Sebagai Pembayar Pajak Berdasarkan Penerapan Beban Pajak Daerah Yang Diatur Dalam Undang-Undang Pajak Dan Retribusi Daerah.” </w:t>
      </w:r>
      <w:r w:rsidRPr="004A1731">
        <w:rPr>
          <w:rFonts w:ascii="Times New Roman" w:hAnsi="Times New Roman"/>
          <w:i/>
          <w:iCs/>
          <w:noProof/>
          <w:sz w:val="24"/>
        </w:rPr>
        <w:t>Cepalo</w:t>
      </w:r>
      <w:r w:rsidRPr="004A1731">
        <w:rPr>
          <w:rFonts w:ascii="Times New Roman" w:hAnsi="Times New Roman"/>
          <w:noProof/>
          <w:sz w:val="24"/>
        </w:rPr>
        <w:t xml:space="preserve"> 4, no. 2 (2020): 143–56. https://doi.org/10.25041/cepalo.v4no2.2067.</w:t>
      </w:r>
    </w:p>
    <w:p w14:paraId="780618DD"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Mahdiana, Maria Qibti, and Muhammad Nuryatno Amin. “Effect of Profitability, Leverage, Company Size, and Sales Growth on Tax Avoidance.” </w:t>
      </w:r>
      <w:r w:rsidRPr="004A1731">
        <w:rPr>
          <w:rFonts w:ascii="Times New Roman" w:hAnsi="Times New Roman"/>
          <w:i/>
          <w:iCs/>
          <w:noProof/>
          <w:sz w:val="24"/>
        </w:rPr>
        <w:t>Jurnal Akuntansi Trisakti</w:t>
      </w:r>
      <w:r w:rsidRPr="004A1731">
        <w:rPr>
          <w:rFonts w:ascii="Times New Roman" w:hAnsi="Times New Roman"/>
          <w:noProof/>
          <w:sz w:val="24"/>
        </w:rPr>
        <w:t xml:space="preserve"> 7, no. 1 (2020): 127–38.</w:t>
      </w:r>
    </w:p>
    <w:p w14:paraId="1CF4C149"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Mahkamah Agung. Putusan MA No. 2239 K/PID.SUS/2012 (n.d.).</w:t>
      </w:r>
    </w:p>
    <w:p w14:paraId="74A7CFAE"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Margareta, Stefani, and Tanudjaja Tanudjaja. “Kajian Yuridis Putusan Mahkamah Agung No. 2239 K/PID.SUS/2012 Berkaitan Dengan Tindak Pidana Perpajakan.” </w:t>
      </w:r>
      <w:r w:rsidRPr="004A1731">
        <w:rPr>
          <w:rFonts w:ascii="Times New Roman" w:hAnsi="Times New Roman"/>
          <w:i/>
          <w:iCs/>
          <w:noProof/>
          <w:sz w:val="24"/>
        </w:rPr>
        <w:t>Jurnal Hukum Indonesia</w:t>
      </w:r>
      <w:r w:rsidRPr="004A1731">
        <w:rPr>
          <w:rFonts w:ascii="Times New Roman" w:hAnsi="Times New Roman"/>
          <w:noProof/>
          <w:sz w:val="24"/>
        </w:rPr>
        <w:t xml:space="preserve"> 3, no. 3 (2024): 107–13. https://doi.org/10.58344/jhi.v3i3.1004.</w:t>
      </w:r>
    </w:p>
    <w:p w14:paraId="64D72EF5"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Negara, Tunggul Ansari Setia. “Normative Legal Research in Indonesia: Its Originis and Approaches.” </w:t>
      </w:r>
      <w:r w:rsidRPr="004A1731">
        <w:rPr>
          <w:rFonts w:ascii="Times New Roman" w:hAnsi="Times New Roman"/>
          <w:i/>
          <w:iCs/>
          <w:noProof/>
          <w:sz w:val="24"/>
        </w:rPr>
        <w:t>Audito Comparative Law Journal (ACLJ)</w:t>
      </w:r>
      <w:r w:rsidRPr="004A1731">
        <w:rPr>
          <w:rFonts w:ascii="Times New Roman" w:hAnsi="Times New Roman"/>
          <w:noProof/>
          <w:sz w:val="24"/>
        </w:rPr>
        <w:t xml:space="preserve"> 4, no. 1 (2023): 1–9. https://doi.org/10.22219/aclj.v4i1.24855.</w:t>
      </w:r>
    </w:p>
    <w:p w14:paraId="38DB6011"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Rohi, Glenn Merciano Eben, I Nyoman Sugiartha, and Ni Made Puspasutari Ujianti. “Penerapan Hukum Pidana Pada Korporasi Yang Melakukan Tindak Pidana Perpajakan.” </w:t>
      </w:r>
      <w:r w:rsidRPr="004A1731">
        <w:rPr>
          <w:rFonts w:ascii="Times New Roman" w:hAnsi="Times New Roman"/>
          <w:i/>
          <w:iCs/>
          <w:noProof/>
          <w:sz w:val="24"/>
        </w:rPr>
        <w:t>Jurnal Analogi Hukum</w:t>
      </w:r>
      <w:r w:rsidRPr="004A1731">
        <w:rPr>
          <w:rFonts w:ascii="Times New Roman" w:hAnsi="Times New Roman"/>
          <w:noProof/>
          <w:sz w:val="24"/>
        </w:rPr>
        <w:t xml:space="preserve"> 4, no. 3 (2022): 226–31.</w:t>
      </w:r>
    </w:p>
    <w:p w14:paraId="53012FFC"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Suhaidar, Erita Rosalina, and Anggun Pratiwi. “Faktor-Faktor Yang Mempengaruhi Penghindaran Pajak Dampak Sebelum Dan Selama Covid-19 Pada Perusahaan Manufaktur.” </w:t>
      </w:r>
      <w:r w:rsidRPr="004A1731">
        <w:rPr>
          <w:rFonts w:ascii="Times New Roman" w:hAnsi="Times New Roman"/>
          <w:i/>
          <w:iCs/>
          <w:noProof/>
          <w:sz w:val="24"/>
        </w:rPr>
        <w:t>Conference on Economic and Business Innovation</w:t>
      </w:r>
      <w:r w:rsidRPr="004A1731">
        <w:rPr>
          <w:rFonts w:ascii="Times New Roman" w:hAnsi="Times New Roman"/>
          <w:noProof/>
          <w:sz w:val="24"/>
        </w:rPr>
        <w:t xml:space="preserve"> 19, no. 11 (2020): 3–16.</w:t>
      </w:r>
    </w:p>
    <w:p w14:paraId="6F9ABF25"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Virginia, Erja Fitria, and Eko Soponyono. “Pembaharuan Kebijakan Hukum Pidana Dalam Upaya Penanggulangan Tindak Pidana Perpajakan.” </w:t>
      </w:r>
      <w:r w:rsidRPr="004A1731">
        <w:rPr>
          <w:rFonts w:ascii="Times New Roman" w:hAnsi="Times New Roman"/>
          <w:i/>
          <w:iCs/>
          <w:noProof/>
          <w:sz w:val="24"/>
        </w:rPr>
        <w:t>Jurnal Pembangunan Hukum Indonesia</w:t>
      </w:r>
      <w:r w:rsidRPr="004A1731">
        <w:rPr>
          <w:rFonts w:ascii="Times New Roman" w:hAnsi="Times New Roman"/>
          <w:noProof/>
          <w:sz w:val="24"/>
        </w:rPr>
        <w:t xml:space="preserve"> 3, no. 3 (2021): 299–311. https://doi.org/10.14710/jphi.v3i3.299-311.</w:t>
      </w:r>
    </w:p>
    <w:p w14:paraId="1EA3DE29"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Yauma Afriyanti , Septian Dwi Cahya, Imel Santika, Dini Vientiany. “Pentingnya Pemahaman Dasar-Dasar Perpajakan Dalam Peningkatan Kepatuhan Wajib Pajak.” </w:t>
      </w:r>
      <w:r w:rsidRPr="004A1731">
        <w:rPr>
          <w:rFonts w:ascii="Times New Roman" w:hAnsi="Times New Roman"/>
          <w:i/>
          <w:iCs/>
          <w:noProof/>
          <w:sz w:val="24"/>
        </w:rPr>
        <w:t>AEPPG: Akuntansi Dan Ekonomi Pajak: Perspektif Global</w:t>
      </w:r>
      <w:r w:rsidRPr="004A1731">
        <w:rPr>
          <w:rFonts w:ascii="Times New Roman" w:hAnsi="Times New Roman"/>
          <w:noProof/>
          <w:sz w:val="24"/>
        </w:rPr>
        <w:t xml:space="preserve"> 1, no. 3 (2024): 96–107.</w:t>
      </w:r>
    </w:p>
    <w:p w14:paraId="0F8E9E25" w14:textId="77777777" w:rsidR="004A1731" w:rsidRPr="004A1731" w:rsidRDefault="004A1731" w:rsidP="004A1731">
      <w:pPr>
        <w:widowControl w:val="0"/>
        <w:autoSpaceDE w:val="0"/>
        <w:autoSpaceDN w:val="0"/>
        <w:adjustRightInd w:val="0"/>
        <w:spacing w:before="100" w:after="0" w:line="240" w:lineRule="auto"/>
        <w:ind w:left="480" w:hanging="480"/>
        <w:jc w:val="both"/>
        <w:rPr>
          <w:rFonts w:ascii="Times New Roman" w:hAnsi="Times New Roman"/>
          <w:noProof/>
          <w:sz w:val="24"/>
        </w:rPr>
      </w:pPr>
      <w:r w:rsidRPr="004A1731">
        <w:rPr>
          <w:rFonts w:ascii="Times New Roman" w:hAnsi="Times New Roman"/>
          <w:noProof/>
          <w:sz w:val="24"/>
        </w:rPr>
        <w:t xml:space="preserve">Yoserwan, Yoserwan, and Diana Arma. “Criminal Law Policy in the Harmonization of Tax Regulations: Its Implications for State Income from the Tax Sector.” </w:t>
      </w:r>
      <w:r w:rsidRPr="004A1731">
        <w:rPr>
          <w:rFonts w:ascii="Times New Roman" w:hAnsi="Times New Roman"/>
          <w:i/>
          <w:iCs/>
          <w:noProof/>
          <w:sz w:val="24"/>
        </w:rPr>
        <w:t>Nagari Law Review</w:t>
      </w:r>
      <w:r w:rsidRPr="004A1731">
        <w:rPr>
          <w:rFonts w:ascii="Times New Roman" w:hAnsi="Times New Roman"/>
          <w:noProof/>
          <w:sz w:val="24"/>
        </w:rPr>
        <w:t xml:space="preserve"> 7, no. 2 (2023): 304. https://doi.org/10.25077/nalrev.v.7.i.2.p.304-316.2023.</w:t>
      </w:r>
    </w:p>
    <w:p w14:paraId="4BCE53DB" w14:textId="6A1E64A4" w:rsidR="0040481A" w:rsidRPr="00DA4431" w:rsidRDefault="009C07BD" w:rsidP="004A1731">
      <w:pPr>
        <w:widowControl w:val="0"/>
        <w:pBdr>
          <w:top w:val="nil"/>
          <w:left w:val="nil"/>
          <w:bottom w:val="nil"/>
          <w:right w:val="nil"/>
          <w:between w:val="nil"/>
        </w:pBdr>
        <w:spacing w:before="97" w:after="0" w:line="288" w:lineRule="auto"/>
        <w:ind w:right="111"/>
        <w:jc w:val="both"/>
        <w:rPr>
          <w:rFonts w:ascii="Times New Roman" w:hAnsi="Times New Roman"/>
          <w:color w:val="000000"/>
          <w:sz w:val="24"/>
          <w:szCs w:val="24"/>
          <w:lang w:val="pt-BR"/>
        </w:rPr>
      </w:pPr>
      <w:r>
        <w:rPr>
          <w:rFonts w:ascii="Times New Roman" w:hAnsi="Times New Roman"/>
          <w:color w:val="000000"/>
          <w:sz w:val="24"/>
          <w:szCs w:val="24"/>
          <w:lang w:val="pt-BR"/>
        </w:rPr>
        <w:fldChar w:fldCharType="end"/>
      </w:r>
    </w:p>
    <w:p w14:paraId="79498D21" w14:textId="77777777" w:rsidR="0040481A" w:rsidRPr="00F54407" w:rsidRDefault="0040481A" w:rsidP="003E3392">
      <w:pPr>
        <w:autoSpaceDE w:val="0"/>
        <w:autoSpaceDN w:val="0"/>
        <w:jc w:val="both"/>
        <w:rPr>
          <w:rFonts w:ascii="Times New Roman" w:eastAsia="Times New Roman" w:hAnsi="Times New Roman"/>
          <w:bCs/>
          <w:sz w:val="24"/>
          <w:szCs w:val="24"/>
          <w:lang w:val="pt-BR"/>
        </w:rPr>
      </w:pPr>
    </w:p>
    <w:sectPr w:rsidR="0040481A" w:rsidRPr="00F54407" w:rsidSect="00EA0F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7C89" w14:textId="77777777" w:rsidR="002D37A3" w:rsidRDefault="002D37A3" w:rsidP="00DE5A4A">
      <w:pPr>
        <w:spacing w:after="0" w:line="240" w:lineRule="auto"/>
      </w:pPr>
      <w:r>
        <w:separator/>
      </w:r>
    </w:p>
  </w:endnote>
  <w:endnote w:type="continuationSeparator" w:id="0">
    <w:p w14:paraId="41004D15" w14:textId="77777777" w:rsidR="002D37A3" w:rsidRDefault="002D37A3" w:rsidP="00DE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87267"/>
      <w:docPartObj>
        <w:docPartGallery w:val="Page Numbers (Bottom of Page)"/>
        <w:docPartUnique/>
      </w:docPartObj>
    </w:sdtPr>
    <w:sdtEndPr>
      <w:rPr>
        <w:noProof/>
      </w:rPr>
    </w:sdtEndPr>
    <w:sdtContent>
      <w:p w14:paraId="00DB1A93" w14:textId="700F4306" w:rsidR="00167A46" w:rsidRDefault="00167A46">
        <w:pPr>
          <w:pStyle w:val="Footer"/>
          <w:jc w:val="right"/>
        </w:pPr>
        <w:r>
          <w:fldChar w:fldCharType="begin"/>
        </w:r>
        <w:r>
          <w:instrText xml:space="preserve"> PAGE   \* MERGEFORMAT </w:instrText>
        </w:r>
        <w:r>
          <w:fldChar w:fldCharType="separate"/>
        </w:r>
        <w:r w:rsidR="006516C8">
          <w:rPr>
            <w:noProof/>
          </w:rPr>
          <w:t>2</w:t>
        </w:r>
        <w:r>
          <w:rPr>
            <w:noProof/>
          </w:rPr>
          <w:fldChar w:fldCharType="end"/>
        </w:r>
      </w:p>
    </w:sdtContent>
  </w:sdt>
  <w:p w14:paraId="2B0D78FC" w14:textId="77777777" w:rsidR="00167A46" w:rsidRDefault="0016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334F" w14:textId="77777777" w:rsidR="002D37A3" w:rsidRDefault="002D37A3" w:rsidP="00DE5A4A">
      <w:pPr>
        <w:spacing w:after="0" w:line="240" w:lineRule="auto"/>
      </w:pPr>
      <w:r>
        <w:separator/>
      </w:r>
    </w:p>
  </w:footnote>
  <w:footnote w:type="continuationSeparator" w:id="0">
    <w:p w14:paraId="25641216" w14:textId="77777777" w:rsidR="002D37A3" w:rsidRDefault="002D37A3" w:rsidP="00DE5A4A">
      <w:pPr>
        <w:spacing w:after="0" w:line="240" w:lineRule="auto"/>
      </w:pPr>
      <w:r>
        <w:continuationSeparator/>
      </w:r>
    </w:p>
  </w:footnote>
  <w:footnote w:id="1">
    <w:p w14:paraId="38DCEF4F" w14:textId="7CA24E09" w:rsidR="00AD41B8" w:rsidRDefault="00AD41B8">
      <w:pPr>
        <w:pStyle w:val="FootnoteText"/>
      </w:pPr>
      <w:r>
        <w:rPr>
          <w:rStyle w:val="FootnoteReference"/>
        </w:rPr>
        <w:footnoteRef/>
      </w:r>
      <w:r>
        <w:t xml:space="preserve"> </w:t>
      </w:r>
      <w:r>
        <w:fldChar w:fldCharType="begin" w:fldLock="1"/>
      </w:r>
      <w:r>
        <w:instrText>ADDIN CSL_CITATION {"citationItems":[{"id":"ITEM-1","itemData":{"DOI":"10.25041/cepalo.v4no2.2067","ISSN":"2723-2581","abstract":"Pajak merupakan instrumen perekonomian yang menjadi sumber pemasukan utama sebuah negara dan merupakan kewajiban setiap warga negara yang diatur dalam UUD NRI 1945. Pajak di Indonesia sendiri menurut kewenangannya terbagi menjadi pajak pusat dan daerah. Pajak sebagai penopang penerimaan daerah menjadi tidak optimal apabila regulasi dan kebijakan yang dibuat oleh pemerintah daerah tumpah tindih dengan kebijakan perpajakan nasional. Dari sisi masyarakat, rasio penerimaan retribusi daerah lebih tinggi dibandingkan dengan rasio penerimaan pajak daerah tersebut dikarenakan masyarakat menghendaki adanya pelayanan sehingga pemerintah harus memberikan standar parameter pelayanan bagi masyarakat atas kontribusinya dalam pembayaran pajak. Pemerintah diharapkan dapat memberikan pelayanan yang sepadan kepada masyarakat sebagai pembayar pajak agar masyarakat dapat merasakan manfaat atas pembayarannya. Berdasarkan hal tersebut maka perumusan masalah yang akan dibahas ialah bagaimana standar pelayanan pajak daerah di Indonesia? dan bagaimana keseimbangan beban pajak daerah dengan pelayanan yang diberikan kepada masyarakat? Penulisan ini untuk mengetahui keseimbangan beban pajak daerah dengan pelayanan yang diberikan kepada masyarakat. Jenis penelitian yang akan digunakan adalah penelitian normatif dengan menggunakan data sekunder. Pengolahan data dilakukan dengan cara melakukan sistematika terhadap bahan-bahan hukum tertulis dan studi kepustakaan. Hasil menunjukkan bahwa pelayanan yang diberikan kepada masyarakat dari penerimaan pajak daerah dapat diukur melalui dua parameter sebagai bentuk kontraprestasi bagi sektor pajak yang dipungut yakni parameter formal dan parameter ideal. Kontrapretasi tersebut harus sesuai dengan peruntukannya dan ditentukan dalam undang-undang maupun peraturan pelaksanannya. ","author":[{"dropping-particle":"","family":"Ilanoputri","given":"Salsabila Aufadhia","non-dropping-particle":"","parse-names":false,"suffix":""}],"container-title":"Cepalo","id":"ITEM-1","issue":"2","issued":{"date-parts":[["2020"]]},"page":"143-156","title":"Pelayanan Yang Diterima Oleh Masyarakat Sebagai Pembayar Pajak Berdasarkan Penerapan Beban Pajak Daerah Yang Diatur Dalam Undang-Undang Pajak Dan Retribusi Daerah","type":"article-journal","volume":"4"},"uris":["http://www.mendeley.com/documents/?uuid=5a02642a-2fe4-420b-94ea-4d41bbafe0cd"]}],"mendeley":{"formattedCitation":"Salsabila Aufadhia Ilanoputri, “Pelayanan Yang Diterima Oleh Masyarakat Sebagai Pembayar Pajak Berdasarkan Penerapan Beban Pajak Daerah Yang Diatur Dalam Undang-Undang Pajak Dan Retribusi Daerah,” &lt;i&gt;Cepalo&lt;/i&gt; 4, no. 2 (2020): 143–56, https://doi.org/10.25041/cepalo.v4no2.2067.","plainTextFormattedCitation":"Salsabila Aufadhia Ilanoputri, “Pelayanan Yang Diterima Oleh Masyarakat Sebagai Pembayar Pajak Berdasarkan Penerapan Beban Pajak Daerah Yang Diatur Dalam Undang-Undang Pajak Dan Retribusi Daerah,” Cepalo 4, no. 2 (2020): 143–56, https://doi.org/10.25041/cepalo.v4no2.2067.","previouslyFormattedCitation":"Salsabila Aufadhia Ilanoputri, “Pelayanan Yang Diterima Oleh Masyarakat Sebagai Pembayar Pajak Berdasarkan Penerapan Beban Pajak Daerah Yang Diatur Dalam Undang-Undang Pajak Dan Retribusi Daerah,” &lt;i&gt;Cepalo&lt;/i&gt; 4, no. 2 (2020): 143–56, https://doi.org/10.25041/cepalo.v4no2.2067."},"properties":{"noteIndex":1},"schema":"https://github.com/citation-style-language/schema/raw/master/csl-citation.json"}</w:instrText>
      </w:r>
      <w:r>
        <w:fldChar w:fldCharType="separate"/>
      </w:r>
      <w:r w:rsidRPr="00AD41B8">
        <w:rPr>
          <w:noProof/>
        </w:rPr>
        <w:t xml:space="preserve">Salsabila Aufadhia Ilanoputri, “Pelayanan Yang Diterima Oleh Masyarakat Sebagai Pembayar Pajak Berdasarkan Penerapan Beban Pajak Daerah Yang Diatur Dalam Undang-Undang Pajak Dan Retribusi Daerah,” </w:t>
      </w:r>
      <w:r w:rsidRPr="00AD41B8">
        <w:rPr>
          <w:i/>
          <w:noProof/>
        </w:rPr>
        <w:t>Cepalo</w:t>
      </w:r>
      <w:r w:rsidRPr="00AD41B8">
        <w:rPr>
          <w:noProof/>
        </w:rPr>
        <w:t xml:space="preserve"> 4, no. 2 (2020): 143–56, https://doi.org/10.25041/cepalo.v4no2.2067.</w:t>
      </w:r>
      <w:r>
        <w:fldChar w:fldCharType="end"/>
      </w:r>
    </w:p>
  </w:footnote>
  <w:footnote w:id="2">
    <w:p w14:paraId="7CDF8443" w14:textId="23DE667A" w:rsidR="00AD41B8" w:rsidRDefault="00AD41B8">
      <w:pPr>
        <w:pStyle w:val="FootnoteText"/>
      </w:pPr>
      <w:r>
        <w:rPr>
          <w:rStyle w:val="FootnoteReference"/>
        </w:rPr>
        <w:footnoteRef/>
      </w:r>
      <w:r>
        <w:t xml:space="preserve"> </w:t>
      </w:r>
      <w:r>
        <w:fldChar w:fldCharType="begin" w:fldLock="1"/>
      </w:r>
      <w:r>
        <w:instrText>ADDIN CSL_CITATION {"citationItems":[{"id":"ITEM-1","itemData":{"abstract":"This study aims to analyze the influence company size, return on assets (ROA), fixed asset intensity, thin capitalization, and inventory intensity against tax avoidance including analyzing differences of tax avoidance before and during Covid-19. Population in this study were all companies manufacturers listed on the Indonesia Stock Exchange in 2019-2020. Sample in this study selected through purposive sampling technique in order to obtain a sample of 22 companies manufacture. Data in this study were analyze by multiple linear regression and Wilcoxon signed rank test. The test results show that company size, ROA, fixed asset intensity and inventory intensity were not effect on tax avoidance, and capital intensity has a positive effect on tax avoidance. In addition, there is differences in tax avoidance before and during Covid-19.","author":[{"dropping-particle":"","family":"Suhaidar","given":"","non-dropping-particle":"","parse-names":false,"suffix":""},{"dropping-particle":"","family":"Rosalina","given":"Erita","non-dropping-particle":"","parse-names":false,"suffix":""},{"dropping-particle":"","family":"Pratiwi","given":"Anggun","non-dropping-particle":"","parse-names":false,"suffix":""}],"container-title":"Conference on Economic and Business Innovation","id":"ITEM-1","issue":"11","issued":{"date-parts":[["2020"]]},"page":"3-16","title":"Faktor-Faktor yang Mempengaruhi Penghindaran Pajak Dampak Sebelum dan Selama Covid-19 Pada Perusahaan Manufaktur","type":"article-journal","volume":"19"},"uris":["http://www.mendeley.com/documents/?uuid=c91a6694-e3bb-4956-a027-c6af5177d257"]}],"mendeley":{"formattedCitation":"Suhaidar, Erita Rosalina, and Anggun Pratiwi, “Faktor-Faktor Yang Mempengaruhi Penghindaran Pajak Dampak Sebelum Dan Selama Covid-19 Pada Perusahaan Manufaktur,” &lt;i&gt;Conference on Economic and Business Innovation&lt;/i&gt; 19, no. 11 (2020): 3–16.","plainTextFormattedCitation":"Suhaidar, Erita Rosalina, and Anggun Pratiwi, “Faktor-Faktor Yang Mempengaruhi Penghindaran Pajak Dampak Sebelum Dan Selama Covid-19 Pada Perusahaan Manufaktur,” Conference on Economic and Business Innovation 19, no. 11 (2020): 3–16.","previouslyFormattedCitation":"Suhaidar, Erita Rosalina, and Anggun Pratiwi, “Faktor-Faktor Yang Mempengaruhi Penghindaran Pajak Dampak Sebelum Dan Selama Covid-19 Pada Perusahaan Manufaktur,” &lt;i&gt;Conference on Economic and Business Innovation&lt;/i&gt; 19, no. 11 (2020): 3–16."},"properties":{"noteIndex":2},"schema":"https://github.com/citation-style-language/schema/raw/master/csl-citation.json"}</w:instrText>
      </w:r>
      <w:r>
        <w:fldChar w:fldCharType="separate"/>
      </w:r>
      <w:r w:rsidRPr="00AD41B8">
        <w:rPr>
          <w:noProof/>
        </w:rPr>
        <w:t xml:space="preserve">Suhaidar, Erita Rosalina, and Anggun Pratiwi, “Faktor-Faktor Yang Mempengaruhi Penghindaran Pajak Dampak Sebelum Dan Selama Covid-19 Pada Perusahaan Manufaktur,” </w:t>
      </w:r>
      <w:r w:rsidRPr="00AD41B8">
        <w:rPr>
          <w:i/>
          <w:noProof/>
        </w:rPr>
        <w:t>Conference on Economic and Business Innovation</w:t>
      </w:r>
      <w:r w:rsidRPr="00AD41B8">
        <w:rPr>
          <w:noProof/>
        </w:rPr>
        <w:t xml:space="preserve"> 19, no. 11 (2020): 3–16.</w:t>
      </w:r>
      <w:r>
        <w:fldChar w:fldCharType="end"/>
      </w:r>
    </w:p>
  </w:footnote>
  <w:footnote w:id="3">
    <w:p w14:paraId="5870CB9C" w14:textId="407C9673" w:rsidR="00AD41B8" w:rsidRDefault="00AD41B8">
      <w:pPr>
        <w:pStyle w:val="FootnoteText"/>
      </w:pPr>
      <w:r>
        <w:rPr>
          <w:rStyle w:val="FootnoteReference"/>
        </w:rPr>
        <w:footnoteRef/>
      </w:r>
      <w:r>
        <w:t xml:space="preserve"> </w:t>
      </w:r>
      <w:r>
        <w:fldChar w:fldCharType="begin" w:fldLock="1"/>
      </w:r>
      <w:r>
        <w:instrText>ADDIN CSL_CITATION {"citationItems":[{"id":"ITEM-1","itemData":{"DOI":"10.14710/jphi.v3i3.299-311","abstract":"Sejalan dengan “kemajuan ilmu pengetahuan, teknologi informasi, ekonomi, sosial dan politik pemerintah dituntut untuk menciptakan clean governance melalui reformasi Undang-Undang Perpajakan. Hal ini bertujuan agar menciptakan keadilan dan upaya untuk meningkatkan kualitas pelayanan bagi wajib pajak. Selain itu, kemajuan diberbagai bidang juga menimbulkan adanya suatu tindak pidana di bidang perpajakan. Tujuan dari penulisan artikel ini adalah untuk mengkaji kebijakan hukum pidana dalam upaya penanggulangan tindak pidana di bidang perpajakan berdasarkan hukum positif saat ini dan di masa yang akan datang.Pengaturan mengenai tindak pidana di bidang perpajakan diatur dalam Undang-Undang Nomor 28 Tahun 2007 tentang Ketentuan Umum dan Tata Cara Perpajakan jo. Ketentuan-ketentuan umum dalam KUHP yang mengatur mengenai tindak pidana yang dapat menjadi dasar pemidanaan tindak pidana perpajakan. kebijakan hukum pidana“di bidang perpajakan di masa yang akan datang seharusnya sejalan dengan prinsip dalam pidana perpajakan, bahwa sanksi pidana dalam perpajakan adalah bersifat Ultimum Remidium.”  ","author":[{"dropping-particle":"","family":"Virginia","given":"Erja Fitria","non-dropping-particle":"","parse-names":false,"suffix":""},{"dropping-particle":"","family":"Soponyono","given":"Eko","non-dropping-particle":"","parse-names":false,"suffix":""}],"container-title":"Jurnal Pembangunan Hukum Indonesia","id":"ITEM-1","issue":"3","issued":{"date-parts":[["2021"]]},"page":"299-311","title":"Pembaharuan Kebijakan Hukum Pidana Dalam Upaya Penanggulangan Tindak Pidana Perpajakan","type":"article-journal","volume":"3"},"uris":["http://www.mendeley.com/documents/?uuid=8b8c4d1c-fad1-48d3-b8d1-a12cc8bb7a75"]}],"mendeley":{"formattedCitation":"Erja Fitria Virginia and Eko Soponyono, “Pembaharuan Kebijakan Hukum Pidana Dalam Upaya Penanggulangan Tindak Pidana Perpajakan,” &lt;i&gt;Jurnal Pembangunan Hukum Indonesia&lt;/i&gt; 3, no. 3 (2021): 299–311, https://doi.org/10.14710/jphi.v3i3.299-311.","plainTextFormattedCitation":"Erja Fitria Virginia and Eko Soponyono, “Pembaharuan Kebijakan Hukum Pidana Dalam Upaya Penanggulangan Tindak Pidana Perpajakan,” Jurnal Pembangunan Hukum Indonesia 3, no. 3 (2021): 299–311, https://doi.org/10.14710/jphi.v3i3.299-311.","previouslyFormattedCitation":"Erja Fitria Virginia and Eko Soponyono, “Pembaharuan Kebijakan Hukum Pidana Dalam Upaya Penanggulangan Tindak Pidana Perpajakan,” &lt;i&gt;Jurnal Pembangunan Hukum Indonesia&lt;/i&gt; 3, no. 3 (2021): 299–311, https://doi.org/10.14710/jphi.v3i3.299-311."},"properties":{"noteIndex":3},"schema":"https://github.com/citation-style-language/schema/raw/master/csl-citation.json"}</w:instrText>
      </w:r>
      <w:r>
        <w:fldChar w:fldCharType="separate"/>
      </w:r>
      <w:r w:rsidRPr="00AD41B8">
        <w:rPr>
          <w:noProof/>
        </w:rPr>
        <w:t xml:space="preserve">Erja Fitria Virginia and Eko Soponyono, “Pembaharuan Kebijakan Hukum Pidana Dalam Upaya Penanggulangan Tindak Pidana Perpajakan,” </w:t>
      </w:r>
      <w:r w:rsidRPr="00AD41B8">
        <w:rPr>
          <w:i/>
          <w:noProof/>
        </w:rPr>
        <w:t>Jurnal Pembangunan Hukum Indonesia</w:t>
      </w:r>
      <w:r w:rsidRPr="00AD41B8">
        <w:rPr>
          <w:noProof/>
        </w:rPr>
        <w:t xml:space="preserve"> 3, no. 3 (2021): 299–311, https://doi.org/10.14710/jphi.v3i3.299-311.</w:t>
      </w:r>
      <w:r>
        <w:fldChar w:fldCharType="end"/>
      </w:r>
    </w:p>
  </w:footnote>
  <w:footnote w:id="4">
    <w:p w14:paraId="4E20BF84" w14:textId="68E39E97" w:rsidR="00AD41B8" w:rsidRDefault="00AD41B8">
      <w:pPr>
        <w:pStyle w:val="FootnoteText"/>
      </w:pPr>
      <w:r>
        <w:rPr>
          <w:rStyle w:val="FootnoteReference"/>
        </w:rPr>
        <w:footnoteRef/>
      </w:r>
      <w:r>
        <w:t xml:space="preserve"> </w:t>
      </w:r>
      <w:r>
        <w:fldChar w:fldCharType="begin" w:fldLock="1"/>
      </w:r>
      <w:r>
        <w:instrText>ADDIN CSL_CITATION {"citationItems":[{"id":"ITEM-1","itemData":{"DOI":"10.55681/economina.v2i2.328","abstract":"Penelitian ini bertujuan untuk mengetahui Pengaruh Effective Tax Rate, Mekanisme Bonus, dan Tunneling Incentive terhadap Transfer Pricing (Studi Empiris pada perusahaan Manufaktur yang terdafar di Bursa Efek Indonesia Tahun 2017 – 2021). Data yang digunakan dalam penelitian ini adalah data sekunder berupa laporan keuangan tahunan yang diperoleh melalui website resmi www.idx.co.id. Teknik pengambilan sampel yang digunakan adalah Puposive Sampling sehingga diperoleh 11 perusahaan dari 193 perusahaan manufaktur yang terdaftar di Bursa Efek Indonesia (BEI) dan jumah observasi sebanyak 55 sampel data. Metode analisis yang digunakan adalah Regresi Linear Berganda dengan bantuan Eviews 9. Hasil penelitian menunjukkan bahwa Effective Tax Rate berpengaruh positif dan siginifikan terhadap Transfer Pricing, Mekanisme Bonus berpengaruh negatif tetapi tidak signifikan terhadap Transfer Pricing, dan Tunneling Incentive berpengaruh negatif tetapi tidak signifikan terhadap Transfer Pricing.","author":[{"dropping-particle":"","family":"Hertanto","given":"Andika Dwi","non-dropping-particle":"","parse-names":false,"suffix":""},{"dropping-particle":"","family":"Marundha","given":"Amor","non-dropping-particle":"","parse-names":false,"suffix":""},{"dropping-particle":"","family":"Eprianto","given":"Idel","non-dropping-particle":"","parse-names":false,"suffix":""},{"dropping-particle":"","family":"Kuntadi","given":"Cris","non-dropping-particle":"","parse-names":false,"suffix":""}],"container-title":"Jurnal Economina","id":"ITEM-1","issue":"2","issued":{"date-parts":[["2023"]]},"page":"503-522","title":"PENGARUH EFFECTIVE TAX RATE, MEKANISME BONUS, DAN TUNNELING INCENTIVE TERHADAP TRANSFER PRICING (Studi Empiris pada Perusahaan Manufaktur yang Terdaftar di Bursa Efek Indonesia Tahun 2017- 2021)","type":"article-journal","volume":"2"},"uris":["http://www.mendeley.com/documents/?uuid=f95e5685-6671-42bf-bd1d-8cf3a8477c01"]}],"mendeley":{"formattedCitation":"Andika Dwi Hertanto et al., “PENGARUH EFFECTIVE TAX RATE, MEKANISME BONUS, DAN TUNNELING INCENTIVE TERHADAP TRANSFER PRICING (Studi Empiris Pada Perusahaan Manufaktur Yang Terdaftar Di Bursa Efek Indonesia Tahun 2017- 2021),” &lt;i&gt;Jurnal Economina&lt;/i&gt; 2, no. 2 (2023): 503–22, https://doi.org/10.55681/economina.v2i2.328.","plainTextFormattedCitation":"Andika Dwi Hertanto et al., “PENGARUH EFFECTIVE TAX RATE, MEKANISME BONUS, DAN TUNNELING INCENTIVE TERHADAP TRANSFER PRICING (Studi Empiris Pada Perusahaan Manufaktur Yang Terdaftar Di Bursa Efek Indonesia Tahun 2017- 2021),” Jurnal Economina 2, no. 2 (2023): 503–22, https://doi.org/10.55681/economina.v2i2.328.","previouslyFormattedCitation":"Andika Dwi Hertanto et al., “PENGARUH EFFECTIVE TAX RATE, MEKANISME BONUS, DAN TUNNELING INCENTIVE TERHADAP TRANSFER PRICING (Studi Empiris Pada Perusahaan Manufaktur Yang Terdaftar Di Bursa Efek Indonesia Tahun 2017- 2021),” &lt;i&gt;Jurnal Economina&lt;/i&gt; 2, no. 2 (2023): 503–22, https://doi.org/10.55681/economina.v2i2.328."},"properties":{"noteIndex":4},"schema":"https://github.com/citation-style-language/schema/raw/master/csl-citation.json"}</w:instrText>
      </w:r>
      <w:r>
        <w:fldChar w:fldCharType="separate"/>
      </w:r>
      <w:r w:rsidRPr="00AD41B8">
        <w:rPr>
          <w:noProof/>
        </w:rPr>
        <w:t xml:space="preserve">Andika Dwi Hertanto et al., “PENGARUH EFFECTIVE TAX RATE, MEKANISME BONUS, DAN TUNNELING INCENTIVE TERHADAP TRANSFER PRICING (Studi Empiris Pada Perusahaan Manufaktur Yang Terdaftar Di Bursa Efek Indonesia Tahun 2017- 2021),” </w:t>
      </w:r>
      <w:r w:rsidRPr="00AD41B8">
        <w:rPr>
          <w:i/>
          <w:noProof/>
        </w:rPr>
        <w:t>Jurnal Economina</w:t>
      </w:r>
      <w:r w:rsidRPr="00AD41B8">
        <w:rPr>
          <w:noProof/>
        </w:rPr>
        <w:t xml:space="preserve"> 2, no. 2 (2023): 503–22, https://doi.org/10.55681/economina.v2i2.328.</w:t>
      </w:r>
      <w:r>
        <w:fldChar w:fldCharType="end"/>
      </w:r>
    </w:p>
  </w:footnote>
  <w:footnote w:id="5">
    <w:p w14:paraId="3DF12BC0" w14:textId="5C19C87A" w:rsidR="00AD41B8" w:rsidRDefault="00AD41B8">
      <w:pPr>
        <w:pStyle w:val="FootnoteText"/>
      </w:pPr>
      <w:r>
        <w:rPr>
          <w:rStyle w:val="FootnoteReference"/>
        </w:rPr>
        <w:footnoteRef/>
      </w:r>
      <w:r>
        <w:t xml:space="preserve"> </w:t>
      </w:r>
      <w:r>
        <w:fldChar w:fldCharType="begin" w:fldLock="1"/>
      </w:r>
      <w:r>
        <w:instrText>ADDIN CSL_CITATION {"citationItems":[{"id":"ITEM-1","itemData":{"author":[{"dropping-particle":"","family":"Mahkamah Agung","given":"","non-dropping-particle":"","parse-names":false,"suffix":""}],"id":"ITEM-1","issued":{"date-parts":[["0"]]},"title":"Putusan MA No. 2239 K/PID.SUS/2012","type":"legislation"},"uris":["http://www.mendeley.com/documents/?uuid=727f82a1-9faa-4830-a7c5-433be89a1007"]}],"mendeley":{"formattedCitation":"Mahkamah Agung, “Putusan MA No. 2239 K/PID.SUS/2012” (n.d.).","plainTextFormattedCitation":"Mahkamah Agung, “Putusan MA No. 2239 K/PID.SUS/2012” (n.d.).","previouslyFormattedCitation":"Mahkamah Agung, “Putusan MA No. 2239 K/PID.SUS/2012” (n.d.)."},"properties":{"noteIndex":5},"schema":"https://github.com/citation-style-language/schema/raw/master/csl-citation.json"}</w:instrText>
      </w:r>
      <w:r>
        <w:fldChar w:fldCharType="separate"/>
      </w:r>
      <w:r w:rsidRPr="00AD41B8">
        <w:rPr>
          <w:noProof/>
        </w:rPr>
        <w:t>Mahkamah Agung, “Putusan MA No. 2239 K/PID.SUS/2012” (n.d.).</w:t>
      </w:r>
      <w:r>
        <w:fldChar w:fldCharType="end"/>
      </w:r>
    </w:p>
  </w:footnote>
  <w:footnote w:id="6">
    <w:p w14:paraId="7456295A" w14:textId="39832C8D" w:rsidR="00AD41B8" w:rsidRDefault="00AD41B8">
      <w:pPr>
        <w:pStyle w:val="FootnoteText"/>
      </w:pPr>
      <w:r>
        <w:rPr>
          <w:rStyle w:val="FootnoteReference"/>
        </w:rPr>
        <w:footnoteRef/>
      </w:r>
      <w:r>
        <w:t xml:space="preserve"> </w:t>
      </w:r>
      <w:r>
        <w:fldChar w:fldCharType="begin" w:fldLock="1"/>
      </w:r>
      <w:r>
        <w:instrText>ADDIN CSL_CITATION {"citationItems":[{"id":"ITEM-1","itemData":{"DOI":"10.58344/jhi.v3i3.1004","ISSN":"2964-142X","abstract":"Skandal manipulasi pajak Asian Agri melibatkan 14 perusahaan perkebunan kelapa sawit yang merugikan negara sebesar Rp 1,26 triliun. Meskipun konsep kejahatan korporasi dan pertanggungjawaban pidana korporasi tidak dikenal secara umum dalam KUHP, namun dalam UU KUP, perusahaan diakui sebagai badan hukum yang dapat dijatuhi sanksi jika melakukan misrepresentasi. Penelitian ini bertujuan untuk mengisi kekosongan literatur yang ada dengan fokus khusus pada perlindungan hukum bagi pemegang saham minoritas yang sakit jiwa dalam perseroan terbatas di Indonesia, dan diharapkan dapat memberikan kontribusi baru yang berharga dalam memperkaya pemahaman mengenai masalah ini. Studi yuridis ini berfokus pada Putusan Mahkamah Agung Nomor 2239 K/PID.SUS/2012 yang berkaitan dengan kasus pajak yang dikenal sebagai skandal manipulasi pajak pertanian Asian Agri. Penelitian ini akan menganalisis konsep pertanggungjawaban pidana korporasi dalam kasus tersebut. Kasus skandal pajak Asian Agri menunjukkan bahwa konsep pertanggungjawaban pidana korporasi dalam sistem hukum Indonesia masih memiliki ruang untuk dikembangkan, terutama terkait jenis sanksi yang dapat dijatuhkan kepada perusahaan. Pemberian sanksi yang lebih tepat bagi korporasi dapat menjadi salah satu upaya untuk meningkatkan kepatuhan pajak di Indonesia.","author":[{"dropping-particle":"","family":"Margareta","given":"Stefani","non-dropping-particle":"","parse-names":false,"suffix":""},{"dropping-particle":"","family":"Tanudjaja","given":"Tanudjaja","non-dropping-particle":"","parse-names":false,"suffix":""}],"container-title":"Jurnal Hukum Indonesia","id":"ITEM-1","issue":"3","issued":{"date-parts":[["2024"]]},"page":"107-113","title":"Kajian Yuridis Putusan Mahkamah Agung No. 2239 K/PID.SUS/2012 Berkaitan dengan Tindak Pidana Perpajakan","type":"article-journal","volume":"3"},"uris":["http://www.mendeley.com/documents/?uuid=ccc6a8aa-44a6-48b5-a869-f82cf900b8ef"]}],"mendeley":{"formattedCitation":"Stefani Margareta and Tanudjaja Tanudjaja, “Kajian Yuridis Putusan Mahkamah Agung No. 2239 K/PID.SUS/2012 Berkaitan Dengan Tindak Pidana Perpajakan,” &lt;i&gt;Jurnal Hukum Indonesia&lt;/i&gt; 3, no. 3 (2024): 107–13, https://doi.org/10.58344/jhi.v3i3.1004.","plainTextFormattedCitation":"Stefani Margareta and Tanudjaja Tanudjaja, “Kajian Yuridis Putusan Mahkamah Agung No. 2239 K/PID.SUS/2012 Berkaitan Dengan Tindak Pidana Perpajakan,” Jurnal Hukum Indonesia 3, no. 3 (2024): 107–13, https://doi.org/10.58344/jhi.v3i3.1004.","previouslyFormattedCitation":"Stefani Margareta and Tanudjaja Tanudjaja, “Kajian Yuridis Putusan Mahkamah Agung No. 2239 K/PID.SUS/2012 Berkaitan Dengan Tindak Pidana Perpajakan,” &lt;i&gt;Jurnal Hukum Indonesia&lt;/i&gt; 3, no. 3 (2024): 107–13, https://doi.org/10.58344/jhi.v3i3.1004."},"properties":{"noteIndex":6},"schema":"https://github.com/citation-style-language/schema/raw/master/csl-citation.json"}</w:instrText>
      </w:r>
      <w:r>
        <w:fldChar w:fldCharType="separate"/>
      </w:r>
      <w:r w:rsidRPr="00AD41B8">
        <w:rPr>
          <w:noProof/>
        </w:rPr>
        <w:t xml:space="preserve">Stefani Margareta and Tanudjaja Tanudjaja, “Kajian Yuridis Putusan Mahkamah Agung No. 2239 K/PID.SUS/2012 Berkaitan Dengan Tindak Pidana Perpajakan,” </w:t>
      </w:r>
      <w:r w:rsidRPr="00AD41B8">
        <w:rPr>
          <w:i/>
          <w:noProof/>
        </w:rPr>
        <w:t>Jurnal Hukum Indonesia</w:t>
      </w:r>
      <w:r w:rsidRPr="00AD41B8">
        <w:rPr>
          <w:noProof/>
        </w:rPr>
        <w:t xml:space="preserve"> 3, no. 3 (2024): 107–13, https://doi.org/10.58344/jhi.v3i3.1004.</w:t>
      </w:r>
      <w:r>
        <w:fldChar w:fldCharType="end"/>
      </w:r>
    </w:p>
  </w:footnote>
  <w:footnote w:id="7">
    <w:p w14:paraId="09DAA5B0" w14:textId="3DF414B5" w:rsidR="00AD41B8" w:rsidRDefault="00AD41B8">
      <w:pPr>
        <w:pStyle w:val="FootnoteText"/>
      </w:pPr>
      <w:r>
        <w:rPr>
          <w:rStyle w:val="FootnoteReference"/>
        </w:rPr>
        <w:footnoteRef/>
      </w:r>
      <w:r>
        <w:t xml:space="preserve"> </w:t>
      </w:r>
      <w:r>
        <w:fldChar w:fldCharType="begin" w:fldLock="1"/>
      </w:r>
      <w:r>
        <w:instrText>ADDIN CSL_CITATION {"citationItems":[{"id":"ITEM-1","itemData":{"DOI":"10.22219/aclj.v4i1.24855","ISSN":"2723-1968","abstract":"The legal research method is one of the academic fields that continues to generate debate among law students and law colleges in Indonesia. This debate is important because the research method is a means for a legal scholar to obtain the truth. This article maps the debate on normative and socio-legal research, emphasizing the former type of research. This article explores the origins and debates of normative legal research methods in Indonesian legal education and some of the mainstream approaches commonly used in normative legal studies. This condition does not aim to develop a claim on the validity of normative legal research methods as the only research method but rather to position normative legal research proportionally in the legal scholarship in Indonesia.","author":[{"dropping-particle":"","family":"Negara","given":"Tunggul Ansari Setia","non-dropping-particle":"","parse-names":false,"suffix":""}],"container-title":"Audito Comparative Law Journal (ACLJ)","id":"ITEM-1","issue":"1","issued":{"date-parts":[["2023"]]},"page":"1-9","title":"Normative Legal Research in Indonesia: Its Originis and Approaches","type":"article-journal","volume":"4"},"uris":["http://www.mendeley.com/documents/?uuid=15e39010-2610-4f1a-ad28-aa1abfdc748b"]}],"mendeley":{"formattedCitation":"Tunggul Ansari Setia Negara, “Normative Legal Research in Indonesia: Its Originis and Approaches,” &lt;i&gt;Audito Comparative Law Journal (ACLJ)&lt;/i&gt; 4, no. 1 (2023): 1–9, https://doi.org/10.22219/aclj.v4i1.24855.","plainTextFormattedCitation":"Tunggul Ansari Setia Negara, “Normative Legal Research in Indonesia: Its Originis and Approaches,” Audito Comparative Law Journal (ACLJ) 4, no. 1 (2023): 1–9, https://doi.org/10.22219/aclj.v4i1.24855.","previouslyFormattedCitation":"Tunggul Ansari Setia Negara, “Normative Legal Research in Indonesia: Its Originis and Approaches,” &lt;i&gt;Audito Comparative Law Journal (ACLJ)&lt;/i&gt; 4, no. 1 (2023): 1–9, https://doi.org/10.22219/aclj.v4i1.24855."},"properties":{"noteIndex":7},"schema":"https://github.com/citation-style-language/schema/raw/master/csl-citation.json"}</w:instrText>
      </w:r>
      <w:r>
        <w:fldChar w:fldCharType="separate"/>
      </w:r>
      <w:r w:rsidRPr="00AD41B8">
        <w:rPr>
          <w:noProof/>
        </w:rPr>
        <w:t xml:space="preserve">Tunggul Ansari Setia Negara, “Normative Legal Research in Indonesia: Its Originis and Approaches,” </w:t>
      </w:r>
      <w:r w:rsidRPr="00AD41B8">
        <w:rPr>
          <w:i/>
          <w:noProof/>
        </w:rPr>
        <w:t>Audito Comparative Law Journal (ACLJ)</w:t>
      </w:r>
      <w:r w:rsidRPr="00AD41B8">
        <w:rPr>
          <w:noProof/>
        </w:rPr>
        <w:t xml:space="preserve"> 4, no. 1 (2023): 1–9, https://doi.org/10.22219/aclj.v4i1.24855.</w:t>
      </w:r>
      <w:r>
        <w:fldChar w:fldCharType="end"/>
      </w:r>
    </w:p>
  </w:footnote>
  <w:footnote w:id="8">
    <w:p w14:paraId="7A4EC27A" w14:textId="7492F0FF" w:rsidR="00AD41B8" w:rsidRDefault="00AD41B8">
      <w:pPr>
        <w:pStyle w:val="FootnoteText"/>
      </w:pPr>
      <w:r>
        <w:rPr>
          <w:rStyle w:val="FootnoteReference"/>
        </w:rPr>
        <w:footnoteRef/>
      </w:r>
      <w:r>
        <w:t xml:space="preserve"> </w:t>
      </w:r>
      <w:r>
        <w:fldChar w:fldCharType="begin" w:fldLock="1"/>
      </w:r>
      <w:r w:rsidR="005A6B97">
        <w:instrText>ADDIN CSL_CITATION {"citationItems":[{"id":"ITEM-1","itemData":{"author":[{"dropping-particle":"","family":"Prof. Dr. Suteki, S.H.","given":"M.Hum","non-dropping-particle":"","parse-names":false,"suffix":""},{"dropping-particle":"","family":"Galang Taufani, S.H.","given":"M.H","non-dropping-particle":"","parse-names":false,"suffix":""}],"edition":"3","id":"ITEM-1","issued":{"date-parts":[["2020"]]},"number-of-pages":"212","publisher":"Rajawali Pers","publisher-place":"Depok","title":"Metodologi Penelitian Hukum (Filsafat, Teori, dan Praktik)","type":"book"},"uris":["http://www.mendeley.com/documents/?uuid=0e8e08b3-af28-4386-9a7f-a0fcfbb81d74"]}],"mendeley":{"formattedCitation":"M.Hum Prof. Dr. Suteki, S.H. and M.H Galang Taufani, S.H., &lt;i&gt;Metodologi Penelitian Hukum (Filsafat, Teori, Dan Praktik)&lt;/i&gt;, 3rd ed. (Depok: Rajawali Pers, 2020).","plainTextFormattedCitation":"M.Hum Prof. Dr. Suteki, S.H. and M.H Galang Taufani, S.H., Metodologi Penelitian Hukum (Filsafat, Teori, Dan Praktik), 3rd ed. (Depok: Rajawali Pers, 2020).","previouslyFormattedCitation":"M.Hum Prof. Dr. Suteki, S.H. and M.H Galang Taufani, S.H., &lt;i&gt;Metodologi Penelitian Hukum (Filsafat, Teori, Dan Praktik)&lt;/i&gt;, 3rd ed. (Depok: Rajawali Pers, 2020)."},"properties":{"noteIndex":8},"schema":"https://github.com/citation-style-language/schema/raw/master/csl-citation.json"}</w:instrText>
      </w:r>
      <w:r>
        <w:fldChar w:fldCharType="separate"/>
      </w:r>
      <w:r w:rsidRPr="00AD41B8">
        <w:rPr>
          <w:noProof/>
        </w:rPr>
        <w:t xml:space="preserve">M.Hum Prof. Dr. Suteki, S.H. and M.H Galang Taufani, S.H., </w:t>
      </w:r>
      <w:r w:rsidRPr="00AD41B8">
        <w:rPr>
          <w:i/>
          <w:noProof/>
        </w:rPr>
        <w:t>Metodologi Penelitian Hukum (Filsafat, Teori, Dan Praktik)</w:t>
      </w:r>
      <w:r w:rsidRPr="00AD41B8">
        <w:rPr>
          <w:noProof/>
        </w:rPr>
        <w:t>, 3rd ed. (Depok: Rajawali Pers, 2020).</w:t>
      </w:r>
      <w:r>
        <w:fldChar w:fldCharType="end"/>
      </w:r>
    </w:p>
  </w:footnote>
  <w:footnote w:id="9">
    <w:p w14:paraId="6EE4FEDA" w14:textId="42797FB1" w:rsidR="005A6B97" w:rsidRDefault="005A6B97">
      <w:pPr>
        <w:pStyle w:val="FootnoteText"/>
      </w:pPr>
      <w:r>
        <w:rPr>
          <w:rStyle w:val="FootnoteReference"/>
        </w:rPr>
        <w:footnoteRef/>
      </w:r>
      <w:r>
        <w:t xml:space="preserve"> </w:t>
      </w:r>
      <w:r>
        <w:fldChar w:fldCharType="begin" w:fldLock="1"/>
      </w:r>
      <w:r>
        <w:instrText>ADDIN CSL_CITATION {"citationItems":[{"id":"ITEM-1","itemData":{"author":[{"dropping-particle":"","family":"Prof. Dr. Suteki, S.H.","given":"M.Hum","non-dropping-particle":"","parse-names":false,"suffix":""},{"dropping-particle":"","family":"Galang Taufani, S.H.","given":"M.H","non-dropping-particle":"","parse-names":false,"suffix":""}],"edition":"3","id":"ITEM-1","issued":{"date-parts":[["2020"]]},"number-of-pages":"212","publisher":"Rajawali Pers","publisher-place":"Depok","title":"Metodologi Penelitian Hukum (Filsafat, Teori, dan Praktik)","type":"book"},"uris":["http://www.mendeley.com/documents/?uuid=0e8e08b3-af28-4386-9a7f-a0fcfbb81d74"]}],"mendeley":{"formattedCitation":"Prof. Dr. Suteki, S.H. and Galang Taufani, S.H.","plainTextFormattedCitation":"Prof. Dr. Suteki, S.H. and Galang Taufani, S.H.","previouslyFormattedCitation":"Prof. Dr. Suteki, S.H. and Galang Taufani, S.H."},"properties":{"noteIndex":9},"schema":"https://github.com/citation-style-language/schema/raw/master/csl-citation.json"}</w:instrText>
      </w:r>
      <w:r>
        <w:fldChar w:fldCharType="separate"/>
      </w:r>
      <w:r w:rsidRPr="005A6B97">
        <w:rPr>
          <w:noProof/>
        </w:rPr>
        <w:t>Prof. Dr. Suteki, S.H. and Galang Taufani, S.H.</w:t>
      </w:r>
      <w:r>
        <w:fldChar w:fldCharType="end"/>
      </w:r>
    </w:p>
  </w:footnote>
  <w:footnote w:id="10">
    <w:p w14:paraId="2F600000" w14:textId="18E455DA" w:rsidR="005A6B97" w:rsidRDefault="005A6B97">
      <w:pPr>
        <w:pStyle w:val="FootnoteText"/>
      </w:pPr>
      <w:r>
        <w:rPr>
          <w:rStyle w:val="FootnoteReference"/>
        </w:rPr>
        <w:footnoteRef/>
      </w:r>
      <w:r>
        <w:t xml:space="preserve"> </w:t>
      </w:r>
      <w:r>
        <w:fldChar w:fldCharType="begin" w:fldLock="1"/>
      </w:r>
      <w:r>
        <w:instrText>ADDIN CSL_CITATION {"citationItems":[{"id":"ITEM-1","itemData":{"author":[{"dropping-particle":"","family":"Herman, K. M. S., Nurmawati, Bernadete, Iryani, Dewi, &amp; Suhariyanto","given":"Didik","non-dropping-particle":"","parse-names":false,"suffix":""}],"container-title":"JPPI (Jurnal Penelitian Pendidikan Indonesia)","id":"ITEM-1","issue":"3","issued":{"date-parts":[["2023"]]},"page":"1523-1532","title":"Tindak Pidana Perpajakan Yang Merugikan Keuangan Negara Atas Penyalahgunaan Transfer Pricing Untuk Penghindaran Pajak","type":"article-journal","volume":"9"},"uris":["http://www.mendeley.com/documents/?uuid=8f2162fa-9a20-42d1-ba88-08273727c797"]}],"mendeley":{"formattedCitation":"Didik Herman, K. M. S., Nurmawati, Bernadete, Iryani, Dewi, &amp; Suhariyanto, “Tindak Pidana Perpajakan Yang Merugikan Keuangan Negara Atas Penyalahgunaan Transfer Pricing Untuk Penghindaran Pajak,” &lt;i&gt;JPPI (Jurnal Penelitian Pendidikan Indonesia)&lt;/i&gt; 9, no. 3 (2023): 1523–32.","plainTextFormattedCitation":"Didik Herman, K. M. S., Nurmawati, Bernadete, Iryani, Dewi, &amp; Suhariyanto, “Tindak Pidana Perpajakan Yang Merugikan Keuangan Negara Atas Penyalahgunaan Transfer Pricing Untuk Penghindaran Pajak,” JPPI (Jurnal Penelitian Pendidikan Indonesia) 9, no. 3 (2023): 1523–32.","previouslyFormattedCitation":"Didik Herman, K. M. S., Nurmawati, Bernadete, Iryani, Dewi, &amp; Suhariyanto, “Tindak Pidana Perpajakan Yang Merugikan Keuangan Negara Atas Penyalahgunaan Transfer Pricing Untuk Penghindaran Pajak,” &lt;i&gt;JPPI (Jurnal Penelitian Pendidikan Indonesia)&lt;/i&gt; 9, no. 3 (2023): 1523–32."},"properties":{"noteIndex":10},"schema":"https://github.com/citation-style-language/schema/raw/master/csl-citation.json"}</w:instrText>
      </w:r>
      <w:r>
        <w:fldChar w:fldCharType="separate"/>
      </w:r>
      <w:r w:rsidRPr="005A6B97">
        <w:rPr>
          <w:noProof/>
        </w:rPr>
        <w:t xml:space="preserve">Didik Herman, K. M. S., Nurmawati, Bernadete, Iryani, Dewi, &amp; Suhariyanto, “Tindak Pidana Perpajakan Yang Merugikan Keuangan Negara Atas Penyalahgunaan Transfer Pricing Untuk Penghindaran Pajak,” </w:t>
      </w:r>
      <w:r w:rsidRPr="005A6B97">
        <w:rPr>
          <w:i/>
          <w:noProof/>
        </w:rPr>
        <w:t>JPPI (Jurnal Penelitian Pendidikan Indonesia)</w:t>
      </w:r>
      <w:r w:rsidRPr="005A6B97">
        <w:rPr>
          <w:noProof/>
        </w:rPr>
        <w:t xml:space="preserve"> 9, no. 3 (2023): 1523–32.</w:t>
      </w:r>
      <w:r>
        <w:fldChar w:fldCharType="end"/>
      </w:r>
    </w:p>
  </w:footnote>
  <w:footnote w:id="11">
    <w:p w14:paraId="3CE480E0" w14:textId="1721332F" w:rsidR="005A6B97" w:rsidRDefault="005A6B97">
      <w:pPr>
        <w:pStyle w:val="FootnoteText"/>
      </w:pPr>
      <w:r>
        <w:rPr>
          <w:rStyle w:val="FootnoteReference"/>
        </w:rPr>
        <w:footnoteRef/>
      </w:r>
      <w:r>
        <w:t xml:space="preserve"> </w:t>
      </w:r>
      <w:r>
        <w:fldChar w:fldCharType="begin" w:fldLock="1"/>
      </w:r>
      <w:r>
        <w:instrText>ADDIN CSL_CITATION {"citationItems":[{"id":"ITEM-1","itemData":{"author":[{"dropping-particle":"","family":"Herman, K. M. S., Nurmawati, Bernadete, Iryani, Dewi, &amp; Suhariyanto","given":"Didik","non-dropping-particle":"","parse-names":false,"suffix":""}],"container-title":"JPPI (Jurnal Penelitian Pendidikan Indonesia)","id":"ITEM-1","issue":"3","issued":{"date-parts":[["2023"]]},"page":"1523-1532","title":"Tindak Pidana Perpajakan Yang Merugikan Keuangan Negara Atas Penyalahgunaan Transfer Pricing Untuk Penghindaran Pajak","type":"article-journal","volume":"9"},"uris":["http://www.mendeley.com/documents/?uuid=8f2162fa-9a20-42d1-ba88-08273727c797"]}],"mendeley":{"formattedCitation":"Herman, K. M. S., Nurmawati, Bernadete, Iryani, Dewi, &amp; Suhariyanto.","plainTextFormattedCitation":"Herman, K. M. S., Nurmawati, Bernadete, Iryani, Dewi, &amp; Suhariyanto.","previouslyFormattedCitation":"Herman, K. M. S., Nurmawati, Bernadete, Iryani, Dewi, &amp; Suhariyanto."},"properties":{"noteIndex":11},"schema":"https://github.com/citation-style-language/schema/raw/master/csl-citation.json"}</w:instrText>
      </w:r>
      <w:r>
        <w:fldChar w:fldCharType="separate"/>
      </w:r>
      <w:r w:rsidRPr="005A6B97">
        <w:rPr>
          <w:noProof/>
        </w:rPr>
        <w:t>Herman, K. M. S., Nurmawati, Bernadete, Iryani, Dewi, &amp; Suhariyanto.</w:t>
      </w:r>
      <w:r>
        <w:fldChar w:fldCharType="end"/>
      </w:r>
    </w:p>
  </w:footnote>
  <w:footnote w:id="12">
    <w:p w14:paraId="43A228E1" w14:textId="66EE6A12" w:rsidR="005A6B97" w:rsidRDefault="005A6B97">
      <w:pPr>
        <w:pStyle w:val="FootnoteText"/>
      </w:pPr>
      <w:r>
        <w:rPr>
          <w:rStyle w:val="FootnoteReference"/>
        </w:rPr>
        <w:footnoteRef/>
      </w:r>
      <w:r>
        <w:t xml:space="preserve"> </w:t>
      </w:r>
      <w:r>
        <w:fldChar w:fldCharType="begin" w:fldLock="1"/>
      </w:r>
      <w:r>
        <w:instrText>ADDIN CSL_CITATION {"citationItems":[{"id":"ITEM-1","itemData":{"author":[{"dropping-particle":"","family":"Yauma Afriyanti , Septian Dwi Cahya, Imel Santika","given":"Dini Vientiany","non-dropping-particle":"","parse-names":false,"suffix":""}],"container-title":"AEPPG: Akuntansi dan Ekonomi Pajak: Perspektif Global","id":"ITEM-1","issue":"3","issued":{"date-parts":[["2024"]]},"page":"96-107","title":"Pentingnya Pemahaman Dasar-Dasar Perpajakan Dalam Peningkatan Kepatuhan Wajib Pajak","type":"article-journal","volume":"1"},"uris":["http://www.mendeley.com/documents/?uuid=741c7eab-f2e1-4c8b-b6f8-86dac5de5131"]}],"mendeley":{"formattedCitation":"Dini Vientiany Yauma Afriyanti , Septian Dwi Cahya, Imel Santika, “Pentingnya Pemahaman Dasar-Dasar Perpajakan Dalam Peningkatan Kepatuhan Wajib Pajak,” &lt;i&gt;AEPPG: Akuntansi Dan Ekonomi Pajak: Perspektif Global&lt;/i&gt; 1, no. 3 (2024): 96–107.","plainTextFormattedCitation":"Dini Vientiany Yauma Afriyanti , Septian Dwi Cahya, Imel Santika, “Pentingnya Pemahaman Dasar-Dasar Perpajakan Dalam Peningkatan Kepatuhan Wajib Pajak,” AEPPG: Akuntansi Dan Ekonomi Pajak: Perspektif Global 1, no. 3 (2024): 96–107.","previouslyFormattedCitation":"Dini Vientiany Yauma Afriyanti , Septian Dwi Cahya, Imel Santika, “Pentingnya Pemahaman Dasar-Dasar Perpajakan Dalam Peningkatan Kepatuhan Wajib Pajak,” &lt;i&gt;AEPPG: Akuntansi Dan Ekonomi Pajak: Perspektif Global&lt;/i&gt; 1, no. 3 (2024): 96–107."},"properties":{"noteIndex":12},"schema":"https://github.com/citation-style-language/schema/raw/master/csl-citation.json"}</w:instrText>
      </w:r>
      <w:r>
        <w:fldChar w:fldCharType="separate"/>
      </w:r>
      <w:r w:rsidRPr="005A6B97">
        <w:rPr>
          <w:noProof/>
        </w:rPr>
        <w:t xml:space="preserve">Dini Vientiany Yauma Afriyanti , Septian Dwi Cahya, Imel Santika, “Pentingnya Pemahaman Dasar-Dasar Perpajakan Dalam Peningkatan Kepatuhan Wajib Pajak,” </w:t>
      </w:r>
      <w:r w:rsidRPr="005A6B97">
        <w:rPr>
          <w:i/>
          <w:noProof/>
        </w:rPr>
        <w:t>AEPPG: Akuntansi Dan Ekonomi Pajak: Perspektif Global</w:t>
      </w:r>
      <w:r w:rsidRPr="005A6B97">
        <w:rPr>
          <w:noProof/>
        </w:rPr>
        <w:t xml:space="preserve"> 1, no. 3 (2024): 96–107.</w:t>
      </w:r>
      <w:r>
        <w:fldChar w:fldCharType="end"/>
      </w:r>
    </w:p>
  </w:footnote>
  <w:footnote w:id="13">
    <w:p w14:paraId="4953A895" w14:textId="64B75C24" w:rsidR="005A6B97" w:rsidRDefault="005A6B97">
      <w:pPr>
        <w:pStyle w:val="FootnoteText"/>
      </w:pPr>
      <w:r>
        <w:rPr>
          <w:rStyle w:val="FootnoteReference"/>
        </w:rPr>
        <w:footnoteRef/>
      </w:r>
      <w:r>
        <w:t xml:space="preserve"> </w:t>
      </w:r>
      <w:r>
        <w:fldChar w:fldCharType="begin" w:fldLock="1"/>
      </w:r>
      <w:r>
        <w:instrText>ADDIN CSL_CITATION {"citationItems":[{"id":"ITEM-1","itemData":{"author":[{"dropping-particle":"","family":"Dewa","given":"Rena Cipta","non-dropping-particle":"","parse-names":false,"suffix":""},{"dropping-particle":"","family":"Tanudjaja","given":"","non-dropping-particle":"","parse-names":false,"suffix":""}],"container-title":"Jurnal Hukum Indonesia","id":"ITEM-1","issue":"3","issued":{"date-parts":[["2024"]]},"page":"96-106","title":"Tanggung Jawab Pidana pada Korporasi dalam Tindak Pidana Perpajakan Criminal Responsibility of Corporations in Tax Crimes","type":"article-journal","volume":"3"},"uris":["http://www.mendeley.com/documents/?uuid=5d92bf3c-9eca-4f3c-9e78-2fed0577d5bd"]}],"mendeley":{"formattedCitation":"Rena Cipta Dewa and Tanudjaja, “Tanggung Jawab Pidana Pada Korporasi Dalam Tindak Pidana Perpajakan Criminal Responsibility of Corporations in Tax Crimes,” &lt;i&gt;Jurnal Hukum Indonesia&lt;/i&gt; 3, no. 3 (2024): 96–106.","plainTextFormattedCitation":"Rena Cipta Dewa and Tanudjaja, “Tanggung Jawab Pidana Pada Korporasi Dalam Tindak Pidana Perpajakan Criminal Responsibility of Corporations in Tax Crimes,” Jurnal Hukum Indonesia 3, no. 3 (2024): 96–106.","previouslyFormattedCitation":"Rena Cipta Dewa and Tanudjaja, “Tanggung Jawab Pidana Pada Korporasi Dalam Tindak Pidana Perpajakan Criminal Responsibility of Corporations in Tax Crimes,” &lt;i&gt;Jurnal Hukum Indonesia&lt;/i&gt; 3, no. 3 (2024): 96–106."},"properties":{"noteIndex":13},"schema":"https://github.com/citation-style-language/schema/raw/master/csl-citation.json"}</w:instrText>
      </w:r>
      <w:r>
        <w:fldChar w:fldCharType="separate"/>
      </w:r>
      <w:r w:rsidRPr="005A6B97">
        <w:rPr>
          <w:noProof/>
        </w:rPr>
        <w:t xml:space="preserve">Rena Cipta Dewa and Tanudjaja, “Tanggung Jawab Pidana Pada Korporasi Dalam Tindak Pidana Perpajakan Criminal Responsibility of Corporations in Tax Crimes,” </w:t>
      </w:r>
      <w:r w:rsidRPr="005A6B97">
        <w:rPr>
          <w:i/>
          <w:noProof/>
        </w:rPr>
        <w:t>Jurnal Hukum Indonesia</w:t>
      </w:r>
      <w:r w:rsidRPr="005A6B97">
        <w:rPr>
          <w:noProof/>
        </w:rPr>
        <w:t xml:space="preserve"> 3, no. 3 (2024): 96–106.</w:t>
      </w:r>
      <w:r>
        <w:fldChar w:fldCharType="end"/>
      </w:r>
    </w:p>
  </w:footnote>
  <w:footnote w:id="14">
    <w:p w14:paraId="0E4F36DE" w14:textId="7EB8A666" w:rsidR="005A6B97" w:rsidRDefault="005A6B97">
      <w:pPr>
        <w:pStyle w:val="FootnoteText"/>
      </w:pPr>
      <w:r>
        <w:rPr>
          <w:rStyle w:val="FootnoteReference"/>
        </w:rPr>
        <w:footnoteRef/>
      </w:r>
      <w:r>
        <w:t xml:space="preserve"> </w:t>
      </w:r>
      <w:r>
        <w:fldChar w:fldCharType="begin" w:fldLock="1"/>
      </w:r>
      <w:r>
        <w:instrText>ADDIN CSL_CITATION {"citationItems":[{"id":"ITEM-1","itemData":{"author":[{"dropping-particle":"","family":"Rohi","given":"Glenn Merciano Eben","non-dropping-particle":"","parse-names":false,"suffix":""},{"dropping-particle":"","family":"Sugiartha","given":"I Nyoman","non-dropping-particle":"","parse-names":false,"suffix":""},{"dropping-particle":"","family":"Ujianti","given":"Ni Made Puspasutari","non-dropping-particle":"","parse-names":false,"suffix":""}],"container-title":"Jurnal Analogi Hukum","id":"ITEM-1","issue":"3","issued":{"date-parts":[["2022"]]},"page":"226-231","title":"Penerapan Hukum Pidana Pada Korporasi yang Melakukan Tindak Pidana Perpajakan","type":"article-journal","volume":"4"},"uris":["http://www.mendeley.com/documents/?uuid=e6133ec3-4729-4594-8bc7-9c91425c60bd"]}],"mendeley":{"formattedCitation":"Glenn Merciano Eben Rohi, I Nyoman Sugiartha, and Ni Made Puspasutari Ujianti, “Penerapan Hukum Pidana Pada Korporasi Yang Melakukan Tindak Pidana Perpajakan,” &lt;i&gt;Jurnal Analogi Hukum&lt;/i&gt; 4, no. 3 (2022): 226–31.","plainTextFormattedCitation":"Glenn Merciano Eben Rohi, I Nyoman Sugiartha, and Ni Made Puspasutari Ujianti, “Penerapan Hukum Pidana Pada Korporasi Yang Melakukan Tindak Pidana Perpajakan,” Jurnal Analogi Hukum 4, no. 3 (2022): 226–31.","previouslyFormattedCitation":"Glenn Merciano Eben Rohi, I Nyoman Sugiartha, and Ni Made Puspasutari Ujianti, “Penerapan Hukum Pidana Pada Korporasi Yang Melakukan Tindak Pidana Perpajakan,” &lt;i&gt;Jurnal Analogi Hukum&lt;/i&gt; 4, no. 3 (2022): 226–31."},"properties":{"noteIndex":14},"schema":"https://github.com/citation-style-language/schema/raw/master/csl-citation.json"}</w:instrText>
      </w:r>
      <w:r>
        <w:fldChar w:fldCharType="separate"/>
      </w:r>
      <w:r w:rsidRPr="005A6B97">
        <w:rPr>
          <w:noProof/>
        </w:rPr>
        <w:t xml:space="preserve">Glenn Merciano Eben Rohi, I Nyoman Sugiartha, and Ni Made Puspasutari Ujianti, “Penerapan Hukum Pidana Pada Korporasi Yang Melakukan Tindak Pidana Perpajakan,” </w:t>
      </w:r>
      <w:r w:rsidRPr="005A6B97">
        <w:rPr>
          <w:i/>
          <w:noProof/>
        </w:rPr>
        <w:t>Jurnal Analogi Hukum</w:t>
      </w:r>
      <w:r w:rsidRPr="005A6B97">
        <w:rPr>
          <w:noProof/>
        </w:rPr>
        <w:t xml:space="preserve"> 4, no. 3 (2022): 226–31.</w:t>
      </w:r>
      <w:r>
        <w:fldChar w:fldCharType="end"/>
      </w:r>
    </w:p>
  </w:footnote>
  <w:footnote w:id="15">
    <w:p w14:paraId="49354265" w14:textId="1C2D56C8" w:rsidR="005A6B97" w:rsidRDefault="005A6B97">
      <w:pPr>
        <w:pStyle w:val="FootnoteText"/>
      </w:pPr>
      <w:r>
        <w:rPr>
          <w:rStyle w:val="FootnoteReference"/>
        </w:rPr>
        <w:footnoteRef/>
      </w:r>
      <w:r>
        <w:t xml:space="preserve"> </w:t>
      </w:r>
      <w:r>
        <w:fldChar w:fldCharType="begin" w:fldLock="1"/>
      </w:r>
      <w:r w:rsidR="009C07BD">
        <w:instrText>ADDIN CSL_CITATION {"citationItems":[{"id":"ITEM-1","itemData":{"DOI":"10.15642/aj.2019.5.1.1-29","ISSN":"2460-5565","abstract":"Penelitian ini bertujuan untuk menganalisis kedudukan Penyidik Pegawai Negeri Sipil Direktorat Jenderal Pajak dalam kerangka pemberantasan tindak pidana perpajakan. Penelitian ini menggunakan pendekatan yuridis normatif dengan spesifikasi penelitian deskriptif analitis. Metode analisis data yang digunakan dalam penelitian ini adalah analisis kualitatif. Hasil penelitian menunjukkan bahwa kedudukan Penyidik Pegawai Negeri Sipil Direktorat Jenderal Pajak dalam kerangka pemberantasan tindak pidana perpajakan ditekankan sebagai penyidik utama. Kedudukan tersebut sebagaimana berdasarkan UU No. 16 Tahun 2009 sebagai lex specialis derogat legi generalis terhadap UU No. 8 Tahun 1981. Adapun beberapa pergesekan antara PPNS DJP dengan instansi lainnya dapat dilihat dalam beberapa kasus. Misalnya kasus PPNS DJP Kanwil Sumbar-Jambi yang ditetapkan sebagai tersangka oleh Polri, serta kasus restitusi pajak Mobile 8 yang ditangani oleh Penyidik Kejaksaan. Salah satu faktor penyebab gesekan tersebut adalah perbedaan budaya organisasi masing masing instansi terkait. Oleh karena itu, disarankan agar setiap institusi harus memahami dengan seksama apa fungsi utamanya dalam menangani tindak pidana perpajakan sehingga tidak terjadi kesalahpahaman dan potensi overlapping antar institusi yang dapat mengganggu proses penegakan hukum. Perbedaan budaya antar institusi yang menghasilkan egosentrisme harus dikesampingkan. Salah satu solusi terkait egosentrisme adalah setiap instansi terkait membuat kerjasama dengan melalui MoU sehingga setiap institusi terkait dapat saling memahami budaya antar organisasi.","author":[{"dropping-particle":"","family":"Fitrah","given":"Farrel Alanda","non-dropping-particle":"","parse-names":false,"suffix":""},{"dropping-particle":"","family":"Takariawan","given":"Agus","non-dropping-particle":"","parse-names":false,"suffix":""},{"dropping-particle":"","family":"Muttaqin","given":"Zainal","non-dropping-particle":"","parse-names":false,"suffix":""}],"container-title":"SIGn Jurnal Hukum","id":"ITEM-1","issue":"1","issued":{"date-parts":[["2021"]]},"page":"1-25","title":"Kedudukan Penyidik Pegawai Negeri Sipil Direktorat Jenderal Pajak Dalam Kerangka Penegakan Hukum Pidana Perpajakan Di Indonesia","type":"article-journal","volume":"3"},"uris":["http://www.mendeley.com/documents/?uuid=5691f593-d66c-468c-b848-c81b027d71f1"]}],"mendeley":{"formattedCitation":"Farrel Alanda Fitrah, Agus Takariawan, and Zainal Muttaqin, “Kedudukan Penyidik Pegawai Negeri Sipil Direktorat Jenderal Pajak Dalam Kerangka Penegakan Hukum Pidana Perpajakan Di Indonesia,” &lt;i&gt;SIGn Jurnal Hukum&lt;/i&gt; 3, no. 1 (2021): 1–25, https://doi.org/10.15642/aj.2019.5.1.1-29.","plainTextFormattedCitation":"Farrel Alanda Fitrah, Agus Takariawan, and Zainal Muttaqin, “Kedudukan Penyidik Pegawai Negeri Sipil Direktorat Jenderal Pajak Dalam Kerangka Penegakan Hukum Pidana Perpajakan Di Indonesia,” SIGn Jurnal Hukum 3, no. 1 (2021): 1–25, https://doi.org/10.15642/aj.2019.5.1.1-29.","previouslyFormattedCitation":"Farrel Alanda Fitrah, Agus Takariawan, and Zainal Muttaqin, “Kedudukan Penyidik Pegawai Negeri Sipil Direktorat Jenderal Pajak Dalam Kerangka Penegakan Hukum Pidana Perpajakan Di Indonesia,” &lt;i&gt;SIGn Jurnal Hukum&lt;/i&gt; 3, no. 1 (2021): 1–25, https://doi.org/10.15642/aj.2019.5.1.1-29."},"properties":{"noteIndex":15},"schema":"https://github.com/citation-style-language/schema/raw/master/csl-citation.json"}</w:instrText>
      </w:r>
      <w:r>
        <w:fldChar w:fldCharType="separate"/>
      </w:r>
      <w:r w:rsidRPr="005A6B97">
        <w:rPr>
          <w:noProof/>
        </w:rPr>
        <w:t xml:space="preserve">Farrel Alanda Fitrah, Agus Takariawan, and Zainal Muttaqin, “Kedudukan Penyidik Pegawai Negeri Sipil Direktorat Jenderal Pajak Dalam Kerangka Penegakan Hukum Pidana Perpajakan Di Indonesia,” </w:t>
      </w:r>
      <w:r w:rsidRPr="005A6B97">
        <w:rPr>
          <w:i/>
          <w:noProof/>
        </w:rPr>
        <w:t>SIGn Jurnal Hukum</w:t>
      </w:r>
      <w:r w:rsidRPr="005A6B97">
        <w:rPr>
          <w:noProof/>
        </w:rPr>
        <w:t xml:space="preserve"> 3, no. 1 (2021): 1–25, https://doi.org/10.15642/aj.2019.5.1.1-29.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9B44" w14:textId="73C94C8D" w:rsidR="0083125A" w:rsidRDefault="006B2B58" w:rsidP="009D011A">
    <w:pPr>
      <w:pStyle w:val="Header"/>
      <w:rPr>
        <w:rFonts w:ascii="Times New Roman" w:hAnsi="Times New Roman"/>
        <w:lang w:val="pt-BR"/>
      </w:rPr>
    </w:pPr>
    <w:r w:rsidRPr="009D011A">
      <w:rPr>
        <w:rFonts w:ascii="Times New Roman" w:hAnsi="Times New Roman"/>
        <w:lang w:val="pt-BR"/>
      </w:rPr>
      <w:t xml:space="preserve"> </w:t>
    </w:r>
  </w:p>
  <w:p w14:paraId="5AFF8278" w14:textId="77777777" w:rsidR="009D011A" w:rsidRDefault="009D011A" w:rsidP="0083125A">
    <w:pPr>
      <w:pStyle w:val="Header"/>
      <w:jc w:val="right"/>
      <w:rPr>
        <w:rFonts w:ascii="Times New Roman" w:hAnsi="Times New Roman"/>
        <w:lang w:val="pt-BR"/>
      </w:rPr>
    </w:pPr>
  </w:p>
  <w:p w14:paraId="3817FFB9" w14:textId="58EDBC87" w:rsidR="009D011A" w:rsidRPr="0058787A" w:rsidRDefault="009D011A" w:rsidP="009D011A">
    <w:pPr>
      <w:pStyle w:val="Default"/>
      <w:tabs>
        <w:tab w:val="left" w:pos="8222"/>
      </w:tabs>
      <w:ind w:left="284"/>
      <w:jc w:val="right"/>
      <w:rPr>
        <w:color w:val="auto"/>
        <w:sz w:val="22"/>
        <w:szCs w:val="22"/>
        <w:lang w:val="pt-BR"/>
      </w:rPr>
    </w:pPr>
    <w:r w:rsidRPr="0058787A">
      <w:rPr>
        <w:color w:val="auto"/>
        <w:sz w:val="22"/>
        <w:szCs w:val="22"/>
        <w:lang w:val="pt-BR"/>
      </w:rPr>
      <w:t>PETITA</w:t>
    </w:r>
    <w:r>
      <w:rPr>
        <w:color w:val="auto"/>
        <w:sz w:val="22"/>
        <w:szCs w:val="22"/>
      </w:rPr>
      <w:t xml:space="preserve">, </w:t>
    </w:r>
    <w:r w:rsidRPr="007C6513">
      <w:rPr>
        <w:color w:val="FFFFFF" w:themeColor="background1"/>
        <w:sz w:val="22"/>
        <w:szCs w:val="22"/>
        <w:lang w:val="pt-BR"/>
      </w:rPr>
      <w:t>,</w:t>
    </w:r>
    <w:r>
      <w:rPr>
        <w:color w:val="auto"/>
        <w:sz w:val="22"/>
        <w:szCs w:val="22"/>
      </w:rPr>
      <w:t>Vol</w:t>
    </w:r>
    <w:r w:rsidRPr="0058787A">
      <w:rPr>
        <w:color w:val="auto"/>
        <w:sz w:val="22"/>
        <w:szCs w:val="22"/>
        <w:lang w:val="pt-BR"/>
      </w:rPr>
      <w:t xml:space="preserve">. </w:t>
    </w:r>
    <w:r>
      <w:rPr>
        <w:color w:val="auto"/>
        <w:sz w:val="22"/>
        <w:szCs w:val="22"/>
      </w:rPr>
      <w:t>7, No 1 : 1</w:t>
    </w:r>
    <w:r w:rsidRPr="007C6513">
      <w:rPr>
        <w:color w:val="FFFFFF" w:themeColor="background1"/>
        <w:sz w:val="22"/>
        <w:szCs w:val="22"/>
        <w:lang w:val="pt-BR"/>
      </w:rPr>
      <w:t>n</w:t>
    </w:r>
    <w:r>
      <w:rPr>
        <w:color w:val="auto"/>
        <w:sz w:val="22"/>
        <w:szCs w:val="22"/>
      </w:rPr>
      <w:t>1-1</w:t>
    </w:r>
    <w:r>
      <w:rPr>
        <w:color w:val="auto"/>
        <w:sz w:val="22"/>
        <w:szCs w:val="22"/>
        <w:lang w:val="pt-BR"/>
      </w:rPr>
      <w:t>4</w:t>
    </w:r>
  </w:p>
  <w:p w14:paraId="0BBA2A23" w14:textId="7985B0EF" w:rsidR="009D011A" w:rsidRPr="0058787A" w:rsidRDefault="009D011A" w:rsidP="009D011A">
    <w:pPr>
      <w:pStyle w:val="Default"/>
      <w:ind w:left="5761" w:firstLine="720"/>
      <w:jc w:val="right"/>
      <w:rPr>
        <w:color w:val="auto"/>
        <w:sz w:val="22"/>
        <w:szCs w:val="22"/>
        <w:lang w:val="pt-BR"/>
      </w:rPr>
    </w:pPr>
    <w:r w:rsidRPr="00F829C4">
      <w:rPr>
        <w:color w:val="FFFFFF" w:themeColor="background1"/>
        <w:sz w:val="22"/>
        <w:szCs w:val="22"/>
        <w:lang w:val="pt-BR"/>
      </w:rPr>
      <w:t>q</w:t>
    </w:r>
    <w:r w:rsidRPr="0058787A">
      <w:rPr>
        <w:color w:val="auto"/>
        <w:sz w:val="22"/>
        <w:szCs w:val="22"/>
        <w:lang w:val="pt-BR"/>
      </w:rPr>
      <w:t>JU</w:t>
    </w:r>
    <w:r>
      <w:rPr>
        <w:color w:val="auto"/>
        <w:sz w:val="22"/>
        <w:szCs w:val="22"/>
        <w:lang w:val="pt-BR"/>
      </w:rPr>
      <w:t>NI</w:t>
    </w:r>
    <w:r w:rsidRPr="0058787A">
      <w:rPr>
        <w:color w:val="auto"/>
        <w:sz w:val="22"/>
        <w:szCs w:val="22"/>
        <w:lang w:val="pt-BR"/>
      </w:rPr>
      <w:t>, 202</w:t>
    </w:r>
    <w:r>
      <w:rPr>
        <w:color w:val="auto"/>
        <w:sz w:val="22"/>
        <w:szCs w:val="22"/>
        <w:lang w:val="pt-BR"/>
      </w:rPr>
      <w:t>5</w:t>
    </w:r>
  </w:p>
  <w:p w14:paraId="7FEF3097" w14:textId="77777777" w:rsidR="009D011A" w:rsidRPr="009F7222" w:rsidRDefault="009D011A" w:rsidP="009D011A">
    <w:pPr>
      <w:pStyle w:val="Header"/>
      <w:jc w:val="right"/>
      <w:rPr>
        <w:rFonts w:ascii="Times New Roman" w:hAnsi="Times New Roman"/>
      </w:rPr>
    </w:pPr>
    <w:r w:rsidRPr="009F7222">
      <w:rPr>
        <w:rFonts w:ascii="Times New Roman" w:hAnsi="Times New Roman"/>
        <w:color w:val="FFFFFF" w:themeColor="background1"/>
      </w:rPr>
      <w:t>3</w:t>
    </w:r>
    <w:r w:rsidRPr="009F7222">
      <w:rPr>
        <w:rFonts w:ascii="Times New Roman" w:hAnsi="Times New Roman"/>
      </w:rPr>
      <w:t>P – ISSN : 2657 – 0270</w:t>
    </w:r>
  </w:p>
  <w:p w14:paraId="162813AF" w14:textId="77777777" w:rsidR="009D011A" w:rsidRPr="007C6513" w:rsidRDefault="009D011A" w:rsidP="009D011A">
    <w:pPr>
      <w:pStyle w:val="Header"/>
      <w:jc w:val="right"/>
      <w:rPr>
        <w:rFonts w:ascii="Times New Roman" w:hAnsi="Times New Roman"/>
      </w:rPr>
    </w:pPr>
    <w:r w:rsidRPr="007C6513">
      <w:rPr>
        <w:rFonts w:ascii="Times New Roman" w:hAnsi="Times New Roman"/>
        <w:color w:val="FFFFFF" w:themeColor="background1"/>
      </w:rPr>
      <w:t>;</w:t>
    </w:r>
    <w:r w:rsidRPr="007C6513">
      <w:rPr>
        <w:rFonts w:ascii="Times New Roman" w:hAnsi="Times New Roman"/>
      </w:rPr>
      <w:t>E – ISSN : 2656 - 3371</w:t>
    </w:r>
  </w:p>
  <w:p w14:paraId="1ED04C9E" w14:textId="0C8AB017" w:rsidR="009D011A" w:rsidRPr="009D011A" w:rsidRDefault="009D011A" w:rsidP="009D011A">
    <w:pPr>
      <w:pStyle w:val="Header"/>
      <w:jc w:val="right"/>
      <w:rPr>
        <w:rFonts w:ascii="Times New Roman" w:hAnsi="Times New Roman"/>
      </w:rPr>
    </w:pPr>
    <w:r w:rsidRPr="00F829C4">
      <w:rPr>
        <w:color w:val="FFFFFF" w:themeColor="background1"/>
      </w:rPr>
      <w:t>.</w:t>
    </w:r>
    <w:hyperlink r:id="rId1" w:history="1">
      <w:r w:rsidRPr="007C6513">
        <w:rPr>
          <w:rStyle w:val="Hyperlink"/>
          <w:rFonts w:ascii="Times New Roman" w:hAnsi="Times New Roman"/>
        </w:rPr>
        <w:t>https://journal.unrika.ac.id/index.php/petita/index</w:t>
      </w:r>
    </w:hyperlink>
    <w:r w:rsidRPr="007C6513">
      <w:rPr>
        <w:rFonts w:ascii="Times New Roman" w:hAnsi="Times New Roman"/>
      </w:rPr>
      <w:t xml:space="preserve"> </w:t>
    </w:r>
  </w:p>
  <w:p w14:paraId="41E4FA69" w14:textId="77777777" w:rsidR="00DE5A4A" w:rsidRPr="009D011A" w:rsidRDefault="00DE5A4A" w:rsidP="0083125A">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2436287"/>
    <w:multiLevelType w:val="hybridMultilevel"/>
    <w:tmpl w:val="1C2E669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44200CD"/>
    <w:multiLevelType w:val="hybridMultilevel"/>
    <w:tmpl w:val="13F87AE0"/>
    <w:lvl w:ilvl="0" w:tplc="FFFFFFFF">
      <w:start w:val="1"/>
      <w:numFmt w:val="upperLetter"/>
      <w:lvlText w:val="%1."/>
      <w:lvlJc w:val="left"/>
      <w:pPr>
        <w:ind w:left="720" w:hanging="360"/>
      </w:pPr>
      <w:rPr>
        <w:rFonts w:hint="default"/>
      </w:rPr>
    </w:lvl>
    <w:lvl w:ilvl="1" w:tplc="6F26990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052373"/>
    <w:multiLevelType w:val="hybridMultilevel"/>
    <w:tmpl w:val="FE14E76C"/>
    <w:lvl w:ilvl="0" w:tplc="A64C4C6C">
      <w:start w:val="1"/>
      <w:numFmt w:val="decimal"/>
      <w:lvlText w:val="[%1]"/>
      <w:lvlJc w:val="left"/>
      <w:pPr>
        <w:ind w:left="720" w:hanging="360"/>
      </w:pPr>
      <w:rPr>
        <w:rFonts w:hint="default"/>
        <w:i w:val="0"/>
        <w:i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1F8059A"/>
    <w:multiLevelType w:val="hybridMultilevel"/>
    <w:tmpl w:val="7FE27374"/>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B460061"/>
    <w:multiLevelType w:val="hybridMultilevel"/>
    <w:tmpl w:val="092637D0"/>
    <w:lvl w:ilvl="0" w:tplc="A71A15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DF75D1"/>
    <w:multiLevelType w:val="hybridMultilevel"/>
    <w:tmpl w:val="328233C8"/>
    <w:lvl w:ilvl="0" w:tplc="68EEF3A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7" w15:restartNumberingAfterBreak="0">
    <w:nsid w:val="2D0B3C7F"/>
    <w:multiLevelType w:val="hybridMultilevel"/>
    <w:tmpl w:val="A0E05FA6"/>
    <w:lvl w:ilvl="0" w:tplc="FFFFFFFF">
      <w:start w:val="1"/>
      <w:numFmt w:val="decimal"/>
      <w:lvlText w:val="%1."/>
      <w:lvlJc w:val="left"/>
      <w:pPr>
        <w:ind w:left="1440" w:hanging="360"/>
      </w:pPr>
      <w:rPr>
        <w:rFonts w:hint="default"/>
      </w:rPr>
    </w:lvl>
    <w:lvl w:ilvl="1" w:tplc="D6CCE3F0">
      <w:start w:val="1"/>
      <w:numFmt w:val="upp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404C6963"/>
    <w:multiLevelType w:val="hybridMultilevel"/>
    <w:tmpl w:val="A2CCE71A"/>
    <w:lvl w:ilvl="0" w:tplc="FFFFFFFF">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490B4F"/>
    <w:multiLevelType w:val="hybridMultilevel"/>
    <w:tmpl w:val="12860758"/>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FC30765"/>
    <w:multiLevelType w:val="hybridMultilevel"/>
    <w:tmpl w:val="C3B221CC"/>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5D72D91"/>
    <w:multiLevelType w:val="hybridMultilevel"/>
    <w:tmpl w:val="F8A21112"/>
    <w:lvl w:ilvl="0" w:tplc="FFFFFFFF">
      <w:start w:val="1"/>
      <w:numFmt w:val="upperLetter"/>
      <w:lvlText w:val="%1."/>
      <w:lvlJc w:val="left"/>
      <w:pPr>
        <w:ind w:left="720" w:hanging="360"/>
      </w:pPr>
      <w:rPr>
        <w:rFonts w:hint="default"/>
      </w:rPr>
    </w:lvl>
    <w:lvl w:ilvl="1" w:tplc="8AFEB48A">
      <w:start w:val="1"/>
      <w:numFmt w:val="decimal"/>
      <w:lvlText w:val="%2."/>
      <w:lvlJc w:val="left"/>
      <w:pPr>
        <w:ind w:left="1440" w:hanging="360"/>
      </w:pPr>
      <w:rPr>
        <w:rFonts w:hint="default"/>
      </w:rPr>
    </w:lvl>
    <w:lvl w:ilvl="2" w:tplc="56EAD25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93548CB"/>
    <w:multiLevelType w:val="hybridMultilevel"/>
    <w:tmpl w:val="47C840AE"/>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E9C6DBD"/>
    <w:multiLevelType w:val="hybridMultilevel"/>
    <w:tmpl w:val="F95A935C"/>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26326706">
    <w:abstractNumId w:val="0"/>
  </w:num>
  <w:num w:numId="2" w16cid:durableId="894925923">
    <w:abstractNumId w:val="5"/>
  </w:num>
  <w:num w:numId="3" w16cid:durableId="104161569">
    <w:abstractNumId w:val="3"/>
  </w:num>
  <w:num w:numId="4" w16cid:durableId="2115903217">
    <w:abstractNumId w:val="6"/>
  </w:num>
  <w:num w:numId="5" w16cid:durableId="1138719288">
    <w:abstractNumId w:val="11"/>
  </w:num>
  <w:num w:numId="6" w16cid:durableId="2123069561">
    <w:abstractNumId w:val="9"/>
  </w:num>
  <w:num w:numId="7" w16cid:durableId="1327788218">
    <w:abstractNumId w:val="8"/>
  </w:num>
  <w:num w:numId="8" w16cid:durableId="729691752">
    <w:abstractNumId w:val="13"/>
  </w:num>
  <w:num w:numId="9" w16cid:durableId="1340352074">
    <w:abstractNumId w:val="12"/>
  </w:num>
  <w:num w:numId="10" w16cid:durableId="1665090311">
    <w:abstractNumId w:val="2"/>
  </w:num>
  <w:num w:numId="11" w16cid:durableId="33890784">
    <w:abstractNumId w:val="4"/>
  </w:num>
  <w:num w:numId="12" w16cid:durableId="1736320998">
    <w:abstractNumId w:val="10"/>
  </w:num>
  <w:num w:numId="13" w16cid:durableId="391776983">
    <w:abstractNumId w:val="7"/>
  </w:num>
  <w:num w:numId="14" w16cid:durableId="8955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EB8"/>
    <w:rsid w:val="000443F4"/>
    <w:rsid w:val="00054C09"/>
    <w:rsid w:val="00060778"/>
    <w:rsid w:val="00067186"/>
    <w:rsid w:val="000E3187"/>
    <w:rsid w:val="000F514F"/>
    <w:rsid w:val="000F7A63"/>
    <w:rsid w:val="00101DFF"/>
    <w:rsid w:val="00104CDE"/>
    <w:rsid w:val="00130853"/>
    <w:rsid w:val="001323ED"/>
    <w:rsid w:val="00152E5D"/>
    <w:rsid w:val="001558D0"/>
    <w:rsid w:val="00156A8A"/>
    <w:rsid w:val="00157FD9"/>
    <w:rsid w:val="00160137"/>
    <w:rsid w:val="0016126D"/>
    <w:rsid w:val="00167A46"/>
    <w:rsid w:val="00170F5A"/>
    <w:rsid w:val="00181982"/>
    <w:rsid w:val="001A4A7B"/>
    <w:rsid w:val="001A4A92"/>
    <w:rsid w:val="001C60CF"/>
    <w:rsid w:val="001D21F0"/>
    <w:rsid w:val="001D3FC7"/>
    <w:rsid w:val="001D5425"/>
    <w:rsid w:val="001E3CD7"/>
    <w:rsid w:val="001F3C5A"/>
    <w:rsid w:val="0020427A"/>
    <w:rsid w:val="00217AE6"/>
    <w:rsid w:val="0023445A"/>
    <w:rsid w:val="00235F73"/>
    <w:rsid w:val="00256964"/>
    <w:rsid w:val="00284F80"/>
    <w:rsid w:val="00296558"/>
    <w:rsid w:val="002A09EF"/>
    <w:rsid w:val="002A0E57"/>
    <w:rsid w:val="002A359B"/>
    <w:rsid w:val="002B08A2"/>
    <w:rsid w:val="002B3A3A"/>
    <w:rsid w:val="002C60B2"/>
    <w:rsid w:val="002D37A3"/>
    <w:rsid w:val="002D3C56"/>
    <w:rsid w:val="002D7A8E"/>
    <w:rsid w:val="002E23BF"/>
    <w:rsid w:val="002E4502"/>
    <w:rsid w:val="002E76DE"/>
    <w:rsid w:val="00340988"/>
    <w:rsid w:val="00345EB8"/>
    <w:rsid w:val="00352382"/>
    <w:rsid w:val="00357471"/>
    <w:rsid w:val="00372E87"/>
    <w:rsid w:val="0037576F"/>
    <w:rsid w:val="00383B1D"/>
    <w:rsid w:val="0039161B"/>
    <w:rsid w:val="003A2888"/>
    <w:rsid w:val="003B2402"/>
    <w:rsid w:val="003B3060"/>
    <w:rsid w:val="003B64CC"/>
    <w:rsid w:val="003C29CC"/>
    <w:rsid w:val="003D2EAD"/>
    <w:rsid w:val="003D41D1"/>
    <w:rsid w:val="003D5655"/>
    <w:rsid w:val="003E3392"/>
    <w:rsid w:val="0040481A"/>
    <w:rsid w:val="00417A9E"/>
    <w:rsid w:val="004333BB"/>
    <w:rsid w:val="0043520D"/>
    <w:rsid w:val="00437AAA"/>
    <w:rsid w:val="0045284A"/>
    <w:rsid w:val="004529B8"/>
    <w:rsid w:val="0045437F"/>
    <w:rsid w:val="00492DDF"/>
    <w:rsid w:val="00496FB7"/>
    <w:rsid w:val="00497285"/>
    <w:rsid w:val="004A1731"/>
    <w:rsid w:val="004B2D63"/>
    <w:rsid w:val="004D24FC"/>
    <w:rsid w:val="004E3915"/>
    <w:rsid w:val="004F26FF"/>
    <w:rsid w:val="00501EF2"/>
    <w:rsid w:val="00516BF7"/>
    <w:rsid w:val="00524B33"/>
    <w:rsid w:val="00527D75"/>
    <w:rsid w:val="00537267"/>
    <w:rsid w:val="005647C0"/>
    <w:rsid w:val="00565497"/>
    <w:rsid w:val="0056704D"/>
    <w:rsid w:val="00592B55"/>
    <w:rsid w:val="005A6B97"/>
    <w:rsid w:val="005D285F"/>
    <w:rsid w:val="005E4C16"/>
    <w:rsid w:val="005F27A2"/>
    <w:rsid w:val="005F5BF7"/>
    <w:rsid w:val="006152D5"/>
    <w:rsid w:val="00650271"/>
    <w:rsid w:val="006516C8"/>
    <w:rsid w:val="00673762"/>
    <w:rsid w:val="00681BF2"/>
    <w:rsid w:val="006941A9"/>
    <w:rsid w:val="006A0F1F"/>
    <w:rsid w:val="006A15CC"/>
    <w:rsid w:val="006A3518"/>
    <w:rsid w:val="006B2B58"/>
    <w:rsid w:val="006C5126"/>
    <w:rsid w:val="006D469C"/>
    <w:rsid w:val="006D5D2B"/>
    <w:rsid w:val="006D68FE"/>
    <w:rsid w:val="006F6507"/>
    <w:rsid w:val="007004E4"/>
    <w:rsid w:val="007076F8"/>
    <w:rsid w:val="00714523"/>
    <w:rsid w:val="00727249"/>
    <w:rsid w:val="00733C29"/>
    <w:rsid w:val="007514AA"/>
    <w:rsid w:val="00764CE9"/>
    <w:rsid w:val="0076714D"/>
    <w:rsid w:val="00795991"/>
    <w:rsid w:val="007F3034"/>
    <w:rsid w:val="00825543"/>
    <w:rsid w:val="0083125A"/>
    <w:rsid w:val="00832442"/>
    <w:rsid w:val="00880824"/>
    <w:rsid w:val="00884212"/>
    <w:rsid w:val="00896775"/>
    <w:rsid w:val="008E0035"/>
    <w:rsid w:val="008F55E7"/>
    <w:rsid w:val="00926549"/>
    <w:rsid w:val="009311DA"/>
    <w:rsid w:val="00944564"/>
    <w:rsid w:val="00957992"/>
    <w:rsid w:val="00962228"/>
    <w:rsid w:val="0096498E"/>
    <w:rsid w:val="00983A89"/>
    <w:rsid w:val="00987A99"/>
    <w:rsid w:val="009A6BD6"/>
    <w:rsid w:val="009B174C"/>
    <w:rsid w:val="009B6CDE"/>
    <w:rsid w:val="009C07BD"/>
    <w:rsid w:val="009C3357"/>
    <w:rsid w:val="009D011A"/>
    <w:rsid w:val="009D753C"/>
    <w:rsid w:val="009D7FFC"/>
    <w:rsid w:val="009E52C2"/>
    <w:rsid w:val="009F2323"/>
    <w:rsid w:val="009F763E"/>
    <w:rsid w:val="00A159B6"/>
    <w:rsid w:val="00A20E36"/>
    <w:rsid w:val="00A348ED"/>
    <w:rsid w:val="00A44D46"/>
    <w:rsid w:val="00A473DC"/>
    <w:rsid w:val="00A66EB1"/>
    <w:rsid w:val="00A764D9"/>
    <w:rsid w:val="00A8100F"/>
    <w:rsid w:val="00A911ED"/>
    <w:rsid w:val="00A92897"/>
    <w:rsid w:val="00AB731E"/>
    <w:rsid w:val="00AD27F1"/>
    <w:rsid w:val="00AD3C37"/>
    <w:rsid w:val="00AD41B8"/>
    <w:rsid w:val="00AE5925"/>
    <w:rsid w:val="00AF7218"/>
    <w:rsid w:val="00B00A58"/>
    <w:rsid w:val="00B01F72"/>
    <w:rsid w:val="00B03862"/>
    <w:rsid w:val="00B137CE"/>
    <w:rsid w:val="00B142D6"/>
    <w:rsid w:val="00B33E32"/>
    <w:rsid w:val="00B365A4"/>
    <w:rsid w:val="00B63ED5"/>
    <w:rsid w:val="00B765CF"/>
    <w:rsid w:val="00B7759C"/>
    <w:rsid w:val="00B82A05"/>
    <w:rsid w:val="00B85E90"/>
    <w:rsid w:val="00B872AD"/>
    <w:rsid w:val="00B9713C"/>
    <w:rsid w:val="00BC6F9C"/>
    <w:rsid w:val="00BD626F"/>
    <w:rsid w:val="00BE0889"/>
    <w:rsid w:val="00BE4845"/>
    <w:rsid w:val="00C04FCD"/>
    <w:rsid w:val="00C134F0"/>
    <w:rsid w:val="00C5152E"/>
    <w:rsid w:val="00C56860"/>
    <w:rsid w:val="00C77A0B"/>
    <w:rsid w:val="00C80F9E"/>
    <w:rsid w:val="00C87C5F"/>
    <w:rsid w:val="00CA3620"/>
    <w:rsid w:val="00CB3F7A"/>
    <w:rsid w:val="00CD6463"/>
    <w:rsid w:val="00CD7B98"/>
    <w:rsid w:val="00CE7992"/>
    <w:rsid w:val="00CF237E"/>
    <w:rsid w:val="00CF616A"/>
    <w:rsid w:val="00D11D73"/>
    <w:rsid w:val="00D16D94"/>
    <w:rsid w:val="00D320F1"/>
    <w:rsid w:val="00D429E7"/>
    <w:rsid w:val="00D65DCA"/>
    <w:rsid w:val="00D67820"/>
    <w:rsid w:val="00D77BB4"/>
    <w:rsid w:val="00D878A2"/>
    <w:rsid w:val="00D90AD9"/>
    <w:rsid w:val="00D962F1"/>
    <w:rsid w:val="00DA036D"/>
    <w:rsid w:val="00DA4431"/>
    <w:rsid w:val="00DB6975"/>
    <w:rsid w:val="00DE5A4A"/>
    <w:rsid w:val="00DF149C"/>
    <w:rsid w:val="00E01256"/>
    <w:rsid w:val="00E060BD"/>
    <w:rsid w:val="00E06946"/>
    <w:rsid w:val="00E14DFF"/>
    <w:rsid w:val="00E176A4"/>
    <w:rsid w:val="00E423CD"/>
    <w:rsid w:val="00E64F76"/>
    <w:rsid w:val="00E9077D"/>
    <w:rsid w:val="00EA0FDC"/>
    <w:rsid w:val="00EA17C0"/>
    <w:rsid w:val="00ED1D45"/>
    <w:rsid w:val="00ED7BEB"/>
    <w:rsid w:val="00EF12E1"/>
    <w:rsid w:val="00EF32BC"/>
    <w:rsid w:val="00F11353"/>
    <w:rsid w:val="00F4790D"/>
    <w:rsid w:val="00F54407"/>
    <w:rsid w:val="00F62D1C"/>
    <w:rsid w:val="00F77588"/>
    <w:rsid w:val="00F802FB"/>
    <w:rsid w:val="00FA7073"/>
    <w:rsid w:val="00FC7D5E"/>
    <w:rsid w:val="00FD14E5"/>
    <w:rsid w:val="00FE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3224"/>
  <w15:docId w15:val="{FE8FE52E-BF65-4A90-A80C-2FC103C3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B8"/>
    <w:rPr>
      <w:rFonts w:ascii="Calibri" w:eastAsia="Calibri" w:hAnsi="Calibri" w:cs="Times New Roman"/>
    </w:rPr>
  </w:style>
  <w:style w:type="paragraph" w:styleId="Heading1">
    <w:name w:val="heading 1"/>
    <w:basedOn w:val="Normal"/>
    <w:next w:val="Normal"/>
    <w:link w:val="Heading1Char"/>
    <w:qFormat/>
    <w:rsid w:val="00B142D6"/>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B142D6"/>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B142D6"/>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B142D6"/>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B142D6"/>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B142D6"/>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B142D6"/>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B142D6"/>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B142D6"/>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45EB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345EB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345EB8"/>
    <w:rPr>
      <w:rFonts w:ascii="Times New Roman" w:eastAsia="Times New Roman" w:hAnsi="Times New Roman" w:cs="Times New Roman"/>
      <w:kern w:val="28"/>
      <w:sz w:val="48"/>
      <w:szCs w:val="48"/>
    </w:rPr>
  </w:style>
  <w:style w:type="character" w:customStyle="1" w:styleId="Heading1Char">
    <w:name w:val="Heading 1 Char"/>
    <w:basedOn w:val="DefaultParagraphFont"/>
    <w:link w:val="Heading1"/>
    <w:rsid w:val="00B142D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142D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142D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142D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142D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142D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142D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142D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142D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B142D6"/>
    <w:rPr>
      <w:color w:val="0000FF"/>
      <w:u w:val="single"/>
    </w:rPr>
  </w:style>
  <w:style w:type="paragraph" w:styleId="Header">
    <w:name w:val="header"/>
    <w:basedOn w:val="Normal"/>
    <w:link w:val="HeaderChar"/>
    <w:uiPriority w:val="99"/>
    <w:unhideWhenUsed/>
    <w:rsid w:val="00DE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4A"/>
    <w:rPr>
      <w:rFonts w:ascii="Calibri" w:eastAsia="Calibri" w:hAnsi="Calibri" w:cs="Times New Roman"/>
    </w:rPr>
  </w:style>
  <w:style w:type="paragraph" w:styleId="Footer">
    <w:name w:val="footer"/>
    <w:basedOn w:val="Normal"/>
    <w:link w:val="FooterChar"/>
    <w:uiPriority w:val="99"/>
    <w:unhideWhenUsed/>
    <w:rsid w:val="00DE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4A"/>
    <w:rPr>
      <w:rFonts w:ascii="Calibri" w:eastAsia="Calibri" w:hAnsi="Calibri" w:cs="Times New Roman"/>
    </w:rPr>
  </w:style>
  <w:style w:type="paragraph" w:customStyle="1" w:styleId="Default">
    <w:name w:val="Default"/>
    <w:rsid w:val="00DE5A4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3B2402"/>
    <w:pPr>
      <w:ind w:left="720"/>
      <w:contextualSpacing/>
    </w:pPr>
  </w:style>
  <w:style w:type="paragraph" w:styleId="FootnoteText">
    <w:name w:val="footnote text"/>
    <w:basedOn w:val="Normal"/>
    <w:link w:val="FootnoteTextChar"/>
    <w:uiPriority w:val="99"/>
    <w:unhideWhenUsed/>
    <w:rsid w:val="00E9077D"/>
    <w:pPr>
      <w:spacing w:after="0" w:line="240" w:lineRule="auto"/>
    </w:pPr>
    <w:rPr>
      <w:sz w:val="20"/>
      <w:szCs w:val="20"/>
    </w:rPr>
  </w:style>
  <w:style w:type="character" w:customStyle="1" w:styleId="FootnoteTextChar">
    <w:name w:val="Footnote Text Char"/>
    <w:basedOn w:val="DefaultParagraphFont"/>
    <w:link w:val="FootnoteText"/>
    <w:uiPriority w:val="99"/>
    <w:rsid w:val="00E907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9077D"/>
    <w:rPr>
      <w:vertAlign w:val="superscript"/>
    </w:rPr>
  </w:style>
  <w:style w:type="paragraph" w:styleId="EndnoteText">
    <w:name w:val="endnote text"/>
    <w:basedOn w:val="Normal"/>
    <w:link w:val="EndnoteTextChar"/>
    <w:uiPriority w:val="99"/>
    <w:semiHidden/>
    <w:unhideWhenUsed/>
    <w:rsid w:val="003B30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30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B3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rika.ac.id/index.php/petit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DE9841-DF13-4C97-B302-6611FDC393B9}">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53A9-8FDD-4C66-9ED6-DD44533D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IRVANDI AB</cp:lastModifiedBy>
  <cp:revision>141</cp:revision>
  <dcterms:created xsi:type="dcterms:W3CDTF">2025-06-15T15:40:00Z</dcterms:created>
  <dcterms:modified xsi:type="dcterms:W3CDTF">2025-06-16T03:01:00Z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d5fc0113-ce8e-3398-9dfe-494816b4d8a2</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